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DCAE" w14:textId="77777777" w:rsidR="00AA7F5E" w:rsidRDefault="00AA7F5E" w:rsidP="00AA7F5E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12066"/>
      <w:bookmarkStart w:id="1" w:name="_Toc5964"/>
      <w:bookmarkStart w:id="2" w:name="_Toc24858"/>
      <w:bookmarkStart w:id="3" w:name="_Toc14475"/>
      <w:bookmarkStart w:id="4" w:name="_Toc5511"/>
      <w:bookmarkStart w:id="5" w:name="_Toc29038"/>
      <w:bookmarkStart w:id="6" w:name="_Toc11899"/>
      <w:bookmarkStart w:id="7" w:name="_Toc4503"/>
      <w:bookmarkStart w:id="8" w:name="_Toc4732"/>
      <w:r>
        <w:rPr>
          <w:rFonts w:ascii="Times New Roman" w:hAnsi="Times New Roman" w:cs="Times New Roman"/>
          <w:color w:val="000000" w:themeColor="text1"/>
        </w:rPr>
        <w:t>DGS-408</w:t>
      </w:r>
      <w:r>
        <w:rPr>
          <w:rFonts w:ascii="Times New Roman" w:hAnsi="Times New Roman" w:cs="Times New Roman"/>
          <w:color w:val="000000" w:themeColor="text1"/>
        </w:rPr>
        <w:t>型多通道水质分析仪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EFCB78E" w14:textId="77777777" w:rsidR="00AA7F5E" w:rsidRDefault="00AA7F5E" w:rsidP="00AA7F5E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32"/>
        </w:rPr>
      </w:pPr>
      <w:r>
        <w:rPr>
          <w:rFonts w:ascii="Times New Roman" w:eastAsia="宋体" w:hAnsi="Times New Roman" w:cs="Times New Roman"/>
          <w:noProof/>
          <w:color w:val="000000" w:themeColor="text1"/>
          <w:sz w:val="32"/>
        </w:rPr>
        <w:drawing>
          <wp:inline distT="0" distB="0" distL="114300" distR="114300" wp14:anchorId="62223339" wp14:editId="5513F476">
            <wp:extent cx="5276850" cy="6604000"/>
            <wp:effectExtent l="0" t="0" r="0" b="0"/>
            <wp:docPr id="25" name="图片 25" descr="DGS-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GS-4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AB335" w14:textId="77777777" w:rsidR="00AA7F5E" w:rsidRDefault="00AA7F5E" w:rsidP="00AA7F5E">
      <w:pPr>
        <w:pStyle w:val="LC2"/>
      </w:pPr>
      <w:r>
        <w:t xml:space="preserve">DGS-408 </w:t>
      </w:r>
      <w:r>
        <w:t>型多通道水质分析仪由双</w:t>
      </w:r>
      <w:proofErr w:type="gramStart"/>
      <w:r>
        <w:t>四通道八波长</w:t>
      </w:r>
      <w:proofErr w:type="gramEnd"/>
      <w:r>
        <w:t>检测主机和软件操作系统组合而成，可应用于水质、食品、生物、环境等多行业的化学显色法、酶抑制法分析测量。具有精度高、应用范围广、分析简便快速和仪器灵敏度较高等优点。可以按客户需求，在通道、波长、</w:t>
      </w:r>
      <w:r>
        <w:t>APP</w:t>
      </w:r>
      <w:r>
        <w:t>、云端数据处理等多方面提供定制服务。</w:t>
      </w:r>
    </w:p>
    <w:p w14:paraId="3B59ABF4" w14:textId="77777777" w:rsidR="00AA7F5E" w:rsidRDefault="00AA7F5E" w:rsidP="00AA7F5E">
      <w:pPr>
        <w:pStyle w:val="LC1"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hint="eastAsia"/>
        </w:rPr>
        <w:t>主要特点</w:t>
      </w:r>
    </w:p>
    <w:p w14:paraId="7A269637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网络型仪器，</w:t>
      </w:r>
      <w:proofErr w:type="gramStart"/>
      <w:r>
        <w:rPr>
          <w:rFonts w:ascii="Arial Unicode MS" w:hAnsi="Arial Unicode MS" w:cs="Times New Roman"/>
          <w:color w:val="000000" w:themeColor="text1"/>
        </w:rPr>
        <w:t>具备蓝牙通讯</w:t>
      </w:r>
      <w:proofErr w:type="gramEnd"/>
      <w:r>
        <w:rPr>
          <w:rFonts w:ascii="Arial Unicode MS" w:hAnsi="Arial Unicode MS" w:cs="Times New Roman"/>
          <w:color w:val="000000" w:themeColor="text1"/>
        </w:rPr>
        <w:t>模块，可以通过手机</w:t>
      </w:r>
      <w:r>
        <w:rPr>
          <w:rFonts w:ascii="Arial Unicode MS" w:hAnsi="Arial Unicode MS" w:cs="Times New Roman"/>
          <w:color w:val="000000" w:themeColor="text1"/>
        </w:rPr>
        <w:t xml:space="preserve"> APP </w:t>
      </w:r>
      <w:r>
        <w:rPr>
          <w:rFonts w:ascii="Arial Unicode MS" w:hAnsi="Arial Unicode MS" w:cs="Times New Roman"/>
          <w:color w:val="000000" w:themeColor="text1"/>
        </w:rPr>
        <w:t>或平板电脑进行操作，支持</w:t>
      </w:r>
      <w:r>
        <w:rPr>
          <w:rFonts w:ascii="Arial Unicode MS" w:hAnsi="Arial Unicode MS" w:cs="Times New Roman"/>
          <w:color w:val="000000" w:themeColor="text1"/>
        </w:rPr>
        <w:lastRenderedPageBreak/>
        <w:t>与管理平台间进行数据通讯</w:t>
      </w:r>
    </w:p>
    <w:p w14:paraId="355DAF5F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独特的双</w:t>
      </w:r>
      <w:proofErr w:type="gramStart"/>
      <w:r>
        <w:rPr>
          <w:rFonts w:ascii="Arial Unicode MS" w:hAnsi="Arial Unicode MS" w:cs="Times New Roman"/>
          <w:color w:val="000000" w:themeColor="text1"/>
        </w:rPr>
        <w:t>四通道八波长</w:t>
      </w:r>
      <w:proofErr w:type="gramEnd"/>
      <w:r>
        <w:rPr>
          <w:rFonts w:ascii="Arial Unicode MS" w:hAnsi="Arial Unicode MS" w:cs="Times New Roman"/>
          <w:color w:val="000000" w:themeColor="text1"/>
        </w:rPr>
        <w:t>设计，内置</w:t>
      </w:r>
      <w:r>
        <w:rPr>
          <w:rFonts w:ascii="Arial Unicode MS" w:hAnsi="Arial Unicode MS" w:cs="Times New Roman"/>
          <w:color w:val="000000" w:themeColor="text1"/>
        </w:rPr>
        <w:t xml:space="preserve"> 8 </w:t>
      </w:r>
      <w:r>
        <w:rPr>
          <w:rFonts w:ascii="Arial Unicode MS" w:hAnsi="Arial Unicode MS" w:cs="Times New Roman"/>
          <w:color w:val="000000" w:themeColor="text1"/>
        </w:rPr>
        <w:t>种波长共</w:t>
      </w:r>
      <w:r>
        <w:rPr>
          <w:rFonts w:ascii="Arial Unicode MS" w:hAnsi="Arial Unicode MS" w:cs="Times New Roman"/>
          <w:color w:val="000000" w:themeColor="text1"/>
        </w:rPr>
        <w:t xml:space="preserve"> 32 </w:t>
      </w:r>
      <w:r>
        <w:rPr>
          <w:rFonts w:ascii="Arial Unicode MS" w:hAnsi="Arial Unicode MS" w:cs="Times New Roman"/>
          <w:color w:val="000000" w:themeColor="text1"/>
        </w:rPr>
        <w:t>组</w:t>
      </w:r>
      <w:r>
        <w:rPr>
          <w:rFonts w:ascii="Arial Unicode MS" w:hAnsi="Arial Unicode MS" w:cs="Times New Roman"/>
          <w:color w:val="000000" w:themeColor="text1"/>
        </w:rPr>
        <w:t xml:space="preserve"> LED </w:t>
      </w:r>
      <w:r>
        <w:rPr>
          <w:rFonts w:ascii="Arial Unicode MS" w:hAnsi="Arial Unicode MS" w:cs="Times New Roman"/>
          <w:color w:val="000000" w:themeColor="text1"/>
        </w:rPr>
        <w:t>光源</w:t>
      </w:r>
      <w:r>
        <w:rPr>
          <w:rFonts w:hint="eastAsia"/>
        </w:rPr>
        <w:t>(</w:t>
      </w:r>
      <w:r>
        <w:rPr>
          <w:rFonts w:ascii="Arial Unicode MS" w:hAnsi="Arial Unicode MS" w:cs="Times New Roman"/>
          <w:color w:val="000000" w:themeColor="text1"/>
        </w:rPr>
        <w:t>每个波长各四组</w:t>
      </w:r>
      <w:r>
        <w:rPr>
          <w:rFonts w:hint="eastAsia"/>
        </w:rPr>
        <w:t>)</w:t>
      </w:r>
      <w:r>
        <w:rPr>
          <w:rFonts w:ascii="Arial Unicode MS" w:hAnsi="Arial Unicode MS" w:cs="Times New Roman"/>
          <w:color w:val="000000" w:themeColor="text1"/>
        </w:rPr>
        <w:t>，可以实现四个样品的单一参数的同时测量</w:t>
      </w:r>
    </w:p>
    <w:p w14:paraId="661D9EDC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支持光路自检和故障诊断，支持光路自校准，保证测量系统的准确性和真实性</w:t>
      </w:r>
    </w:p>
    <w:p w14:paraId="1964457A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采用大容量可充电锂电池供电，方便现场使用</w:t>
      </w:r>
    </w:p>
    <w:p w14:paraId="36CA0DD9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内置三十余种检测方法，包括臭氧、亚硝酸盐氮、尿素、六价铬、锰、总氮、硝酸盐氮、硝酸盐、甲醛、水硬度、锌、亚硝酸盐、余氯、总氯、二氧化氯、高锰酸盐指数、低浓度</w:t>
      </w:r>
      <w:r>
        <w:rPr>
          <w:rFonts w:ascii="Arial Unicode MS" w:hAnsi="Arial Unicode MS" w:cs="Times New Roman"/>
          <w:color w:val="000000" w:themeColor="text1"/>
        </w:rPr>
        <w:t xml:space="preserve"> </w:t>
      </w:r>
      <w:proofErr w:type="spellStart"/>
      <w:r>
        <w:rPr>
          <w:rFonts w:ascii="Arial Unicode MS" w:hAnsi="Arial Unicode MS" w:cs="Times New Roman"/>
          <w:color w:val="000000" w:themeColor="text1"/>
        </w:rPr>
        <w:t>CODCr</w:t>
      </w:r>
      <w:proofErr w:type="spellEnd"/>
      <w:r>
        <w:rPr>
          <w:rFonts w:ascii="Arial Unicode MS" w:hAnsi="Arial Unicode MS" w:cs="Times New Roman"/>
          <w:color w:val="000000" w:themeColor="text1"/>
        </w:rPr>
        <w:t>、高浓度</w:t>
      </w:r>
      <w:r>
        <w:rPr>
          <w:rFonts w:ascii="Arial Unicode MS" w:hAnsi="Arial Unicode MS" w:cs="Times New Roman"/>
          <w:color w:val="000000" w:themeColor="text1"/>
        </w:rPr>
        <w:t xml:space="preserve"> </w:t>
      </w:r>
      <w:proofErr w:type="spellStart"/>
      <w:r>
        <w:rPr>
          <w:rFonts w:ascii="Arial Unicode MS" w:hAnsi="Arial Unicode MS" w:cs="Times New Roman"/>
          <w:color w:val="000000" w:themeColor="text1"/>
        </w:rPr>
        <w:t>CODCr</w:t>
      </w:r>
      <w:proofErr w:type="spellEnd"/>
      <w:r>
        <w:rPr>
          <w:rFonts w:ascii="Arial Unicode MS" w:hAnsi="Arial Unicode MS" w:cs="Times New Roman"/>
          <w:color w:val="000000" w:themeColor="text1"/>
        </w:rPr>
        <w:t>、镉、氨氮、铵离子、总磷、总磷酸盐、镍、亚铁离子、铁、亚硫酸盐等，配套专用检测试剂即可实现相关参数的快速检测</w:t>
      </w:r>
    </w:p>
    <w:p w14:paraId="0081FDFA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配套提供</w:t>
      </w:r>
      <w:r>
        <w:rPr>
          <w:rFonts w:ascii="Arial Unicode MS" w:hAnsi="Arial Unicode MS" w:cs="Times New Roman"/>
          <w:color w:val="000000" w:themeColor="text1"/>
        </w:rPr>
        <w:t xml:space="preserve"> APP </w:t>
      </w:r>
      <w:r>
        <w:rPr>
          <w:rFonts w:ascii="Arial Unicode MS" w:hAnsi="Arial Unicode MS" w:cs="Times New Roman"/>
          <w:color w:val="000000" w:themeColor="text1"/>
        </w:rPr>
        <w:t>软件，根据应用场景可分为网络版和本地版。本地</w:t>
      </w:r>
      <w:proofErr w:type="gramStart"/>
      <w:r>
        <w:rPr>
          <w:rFonts w:ascii="Arial Unicode MS" w:hAnsi="Arial Unicode MS" w:cs="Times New Roman"/>
          <w:color w:val="000000" w:themeColor="text1"/>
        </w:rPr>
        <w:t>版支持</w:t>
      </w:r>
      <w:proofErr w:type="gramEnd"/>
      <w:r>
        <w:rPr>
          <w:rFonts w:ascii="Arial Unicode MS" w:hAnsi="Arial Unicode MS" w:cs="Times New Roman"/>
          <w:color w:val="000000" w:themeColor="text1"/>
        </w:rPr>
        <w:t>仪器的连接、控制和</w:t>
      </w:r>
      <w:r>
        <w:t>数据管理</w:t>
      </w:r>
      <w:r>
        <w:rPr>
          <w:rFonts w:ascii="Arial Unicode MS" w:hAnsi="Arial Unicode MS" w:cs="Times New Roman"/>
          <w:color w:val="000000" w:themeColor="text1"/>
        </w:rPr>
        <w:t>。网络版</w:t>
      </w:r>
      <w:r>
        <w:rPr>
          <w:rFonts w:ascii="Arial Unicode MS" w:hAnsi="Arial Unicode MS" w:cs="Times New Roman"/>
          <w:color w:val="000000" w:themeColor="text1"/>
        </w:rPr>
        <w:t xml:space="preserve"> APP </w:t>
      </w:r>
      <w:r>
        <w:rPr>
          <w:rFonts w:ascii="Arial Unicode MS" w:hAnsi="Arial Unicode MS" w:cs="Times New Roman"/>
          <w:color w:val="000000" w:themeColor="text1"/>
        </w:rPr>
        <w:t>除基本的仪器控制功能外，还额外支持以下功能：</w:t>
      </w:r>
    </w:p>
    <w:p w14:paraId="15F8FF85" w14:textId="77777777" w:rsidR="00AA7F5E" w:rsidRDefault="00AA7F5E" w:rsidP="00AA7F5E">
      <w:pPr>
        <w:pStyle w:val="LC"/>
        <w:widowControl w:val="0"/>
        <w:numPr>
          <w:ilvl w:val="0"/>
          <w:numId w:val="3"/>
        </w:numPr>
        <w:adjustRightInd/>
        <w:snapToGrid/>
        <w:spacing w:line="288" w:lineRule="auto"/>
        <w:ind w:leftChars="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通过</w:t>
      </w:r>
      <w:r>
        <w:rPr>
          <w:rFonts w:ascii="Arial Unicode MS" w:hAnsi="Arial Unicode MS" w:cs="Times New Roman"/>
          <w:color w:val="000000" w:themeColor="text1"/>
        </w:rPr>
        <w:t xml:space="preserve"> WIFI</w:t>
      </w:r>
      <w:r>
        <w:rPr>
          <w:rFonts w:hint="eastAsia"/>
        </w:rPr>
        <w:t>(</w:t>
      </w:r>
      <w:r>
        <w:rPr>
          <w:rFonts w:ascii="Arial Unicode MS" w:hAnsi="Arial Unicode MS" w:cs="Times New Roman"/>
          <w:color w:val="000000" w:themeColor="text1"/>
        </w:rPr>
        <w:t>或</w:t>
      </w:r>
      <w:r>
        <w:rPr>
          <w:rFonts w:ascii="Arial Unicode MS" w:hAnsi="Arial Unicode MS" w:cs="Times New Roman"/>
          <w:color w:val="000000" w:themeColor="text1"/>
        </w:rPr>
        <w:t xml:space="preserve"> 3G/4G</w:t>
      </w:r>
      <w:r>
        <w:rPr>
          <w:rFonts w:hint="eastAsia"/>
        </w:rPr>
        <w:t>)</w:t>
      </w:r>
      <w:r>
        <w:rPr>
          <w:rFonts w:ascii="Arial Unicode MS" w:hAnsi="Arial Unicode MS" w:cs="Times New Roman"/>
          <w:color w:val="000000" w:themeColor="text1"/>
        </w:rPr>
        <w:t>连接网络，进行检测项目的自动更新、数据云端自动备份、检测报告定制上传等</w:t>
      </w:r>
    </w:p>
    <w:p w14:paraId="0C6F3E6E" w14:textId="77777777" w:rsidR="00AA7F5E" w:rsidRDefault="00AA7F5E" w:rsidP="00AA7F5E">
      <w:pPr>
        <w:pStyle w:val="LC"/>
        <w:widowControl w:val="0"/>
        <w:numPr>
          <w:ilvl w:val="0"/>
          <w:numId w:val="3"/>
        </w:numPr>
        <w:adjustRightInd/>
        <w:snapToGrid/>
        <w:spacing w:line="288" w:lineRule="auto"/>
        <w:ind w:leftChars="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支持检测结果实时上传，具有用户权限管理功能，对数据进行溯源，确保数据的真实性和可靠性，实现数据安全化管理</w:t>
      </w:r>
    </w:p>
    <w:p w14:paraId="22BAA7EA" w14:textId="77777777" w:rsidR="00AA7F5E" w:rsidRDefault="00AA7F5E" w:rsidP="00AA7F5E">
      <w:pPr>
        <w:pStyle w:val="LC"/>
        <w:widowControl w:val="0"/>
        <w:numPr>
          <w:ilvl w:val="0"/>
          <w:numId w:val="3"/>
        </w:numPr>
        <w:adjustRightInd/>
        <w:snapToGrid/>
        <w:spacing w:line="288" w:lineRule="auto"/>
        <w:ind w:leftChars="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 xml:space="preserve">GPS </w:t>
      </w:r>
      <w:r>
        <w:rPr>
          <w:rFonts w:ascii="Arial Unicode MS" w:hAnsi="Arial Unicode MS" w:cs="Times New Roman"/>
          <w:color w:val="000000" w:themeColor="text1"/>
        </w:rPr>
        <w:t>定位功能，对检测地址进行精确定位</w:t>
      </w:r>
    </w:p>
    <w:p w14:paraId="6DC882B3" w14:textId="77777777" w:rsidR="00AA7F5E" w:rsidRDefault="00AA7F5E" w:rsidP="00AA7F5E">
      <w:pPr>
        <w:pStyle w:val="LC"/>
        <w:widowControl w:val="0"/>
        <w:numPr>
          <w:ilvl w:val="0"/>
          <w:numId w:val="3"/>
        </w:numPr>
        <w:adjustRightInd/>
        <w:snapToGrid/>
        <w:spacing w:line="288" w:lineRule="auto"/>
        <w:ind w:leftChars="0"/>
        <w:rPr>
          <w:rFonts w:ascii="Arial Unicode MS" w:hAnsi="Arial Unicode MS" w:cs="Times New Roman" w:hint="eastAsia"/>
          <w:color w:val="000000" w:themeColor="text1"/>
        </w:rPr>
      </w:pPr>
      <w:r>
        <w:rPr>
          <w:rFonts w:ascii="Arial Unicode MS" w:hAnsi="Arial Unicode MS" w:cs="Times New Roman"/>
          <w:color w:val="000000" w:themeColor="text1"/>
        </w:rPr>
        <w:t>一个</w:t>
      </w:r>
      <w:r>
        <w:rPr>
          <w:rFonts w:ascii="Arial Unicode MS" w:hAnsi="Arial Unicode MS" w:cs="Times New Roman"/>
          <w:color w:val="000000" w:themeColor="text1"/>
        </w:rPr>
        <w:t xml:space="preserve"> APP </w:t>
      </w:r>
      <w:r>
        <w:rPr>
          <w:rFonts w:ascii="Arial Unicode MS" w:hAnsi="Arial Unicode MS" w:cs="Times New Roman"/>
          <w:color w:val="000000" w:themeColor="text1"/>
        </w:rPr>
        <w:t>账号支持连接最多</w:t>
      </w:r>
      <w:r>
        <w:rPr>
          <w:rFonts w:ascii="Arial Unicode MS" w:hAnsi="Arial Unicode MS" w:cs="Times New Roman"/>
          <w:color w:val="000000" w:themeColor="text1"/>
        </w:rPr>
        <w:t xml:space="preserve"> 5 </w:t>
      </w:r>
      <w:r>
        <w:rPr>
          <w:rFonts w:ascii="Arial Unicode MS" w:hAnsi="Arial Unicode MS" w:cs="Times New Roman"/>
          <w:color w:val="000000" w:themeColor="text1"/>
        </w:rPr>
        <w:t>台设备，进行控制</w:t>
      </w:r>
    </w:p>
    <w:p w14:paraId="404B088C" w14:textId="77777777" w:rsidR="00AA7F5E" w:rsidRDefault="00AA7F5E" w:rsidP="00AA7F5E">
      <w:pPr>
        <w:pStyle w:val="LC"/>
        <w:widowControl w:val="0"/>
        <w:numPr>
          <w:ilvl w:val="0"/>
          <w:numId w:val="2"/>
        </w:numPr>
        <w:adjustRightInd/>
        <w:snapToGrid/>
        <w:spacing w:line="288" w:lineRule="auto"/>
        <w:ind w:left="840"/>
        <w:rPr>
          <w:rFonts w:ascii="Arial Unicode MS" w:hAnsi="Arial Unicode MS" w:cstheme="minorBidi" w:hint="eastAsia"/>
          <w:color w:val="000000" w:themeColor="text1"/>
          <w:szCs w:val="21"/>
        </w:rPr>
      </w:pPr>
      <w:r>
        <w:rPr>
          <w:rFonts w:ascii="Arial Unicode MS" w:hAnsi="Arial Unicode MS" w:cstheme="minorBidi"/>
          <w:color w:val="000000" w:themeColor="text1"/>
          <w:szCs w:val="21"/>
        </w:rPr>
        <w:t>硬件和软件可根据客户需求进行定制，满足客户专用化多样化应用</w:t>
      </w:r>
    </w:p>
    <w:p w14:paraId="1993BA4E" w14:textId="77777777" w:rsidR="00AA7F5E" w:rsidRDefault="00AA7F5E" w:rsidP="00AA7F5E">
      <w:pPr>
        <w:pStyle w:val="LC1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hint="eastAsia"/>
        </w:rPr>
        <w:t>技术参数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2572"/>
        <w:gridCol w:w="5721"/>
      </w:tblGrid>
      <w:tr w:rsidR="00AA7F5E" w14:paraId="56A27607" w14:textId="77777777" w:rsidTr="00BE0402">
        <w:trPr>
          <w:trHeight w:val="311"/>
        </w:trPr>
        <w:tc>
          <w:tcPr>
            <w:tcW w:w="1551" w:type="pct"/>
            <w:tcBorders>
              <w:tl2br w:val="single" w:sz="4" w:space="0" w:color="auto"/>
            </w:tcBorders>
          </w:tcPr>
          <w:p w14:paraId="535EF4D6" w14:textId="77777777" w:rsidR="00AA7F5E" w:rsidRDefault="00AA7F5E" w:rsidP="00BE0402">
            <w:pPr>
              <w:pStyle w:val="LC0"/>
              <w:spacing w:line="276" w:lineRule="auto"/>
              <w:ind w:firstLineChars="650" w:firstLine="117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型号</w:t>
            </w:r>
          </w:p>
          <w:p w14:paraId="7CE39FEA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技术参数</w:t>
            </w:r>
          </w:p>
        </w:tc>
        <w:tc>
          <w:tcPr>
            <w:tcW w:w="3448" w:type="pct"/>
            <w:vAlign w:val="center"/>
          </w:tcPr>
          <w:p w14:paraId="437ABC9C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DGS-408 </w:t>
            </w:r>
            <w:r>
              <w:rPr>
                <w:color w:val="000000" w:themeColor="text1"/>
                <w:szCs w:val="20"/>
              </w:rPr>
              <w:t>型多通道水质分析仪</w:t>
            </w:r>
          </w:p>
        </w:tc>
      </w:tr>
      <w:tr w:rsidR="00AA7F5E" w14:paraId="2CD4478D" w14:textId="77777777" w:rsidTr="00BE0402">
        <w:trPr>
          <w:trHeight w:val="297"/>
        </w:trPr>
        <w:tc>
          <w:tcPr>
            <w:tcW w:w="1551" w:type="pct"/>
            <w:vAlign w:val="center"/>
          </w:tcPr>
          <w:p w14:paraId="3196BDB7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波长数量</w:t>
            </w:r>
          </w:p>
        </w:tc>
        <w:tc>
          <w:tcPr>
            <w:tcW w:w="3448" w:type="pct"/>
            <w:vAlign w:val="center"/>
          </w:tcPr>
          <w:p w14:paraId="7EF8E0C8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</w:t>
            </w:r>
          </w:p>
        </w:tc>
      </w:tr>
      <w:tr w:rsidR="00AA7F5E" w14:paraId="2F36790F" w14:textId="77777777" w:rsidTr="00BE0402">
        <w:trPr>
          <w:trHeight w:val="297"/>
        </w:trPr>
        <w:tc>
          <w:tcPr>
            <w:tcW w:w="1551" w:type="pct"/>
            <w:vAlign w:val="center"/>
          </w:tcPr>
          <w:p w14:paraId="66C9BF77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波长</w:t>
            </w:r>
          </w:p>
        </w:tc>
        <w:tc>
          <w:tcPr>
            <w:tcW w:w="3448" w:type="pct"/>
            <w:vAlign w:val="center"/>
          </w:tcPr>
          <w:p w14:paraId="64C330DD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412nm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422nm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470nm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522nm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560nm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592nm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623nm</w:t>
            </w:r>
            <w:r>
              <w:rPr>
                <w:color w:val="000000" w:themeColor="text1"/>
                <w:szCs w:val="20"/>
              </w:rPr>
              <w:t>、</w:t>
            </w:r>
            <w:r>
              <w:rPr>
                <w:color w:val="000000" w:themeColor="text1"/>
                <w:szCs w:val="20"/>
              </w:rPr>
              <w:t>700nm</w:t>
            </w:r>
          </w:p>
        </w:tc>
      </w:tr>
      <w:tr w:rsidR="00AA7F5E" w14:paraId="7F55120C" w14:textId="77777777" w:rsidTr="00BE0402">
        <w:trPr>
          <w:trHeight w:val="283"/>
        </w:trPr>
        <w:tc>
          <w:tcPr>
            <w:tcW w:w="1551" w:type="pct"/>
            <w:vAlign w:val="center"/>
          </w:tcPr>
          <w:p w14:paraId="57CF0811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lastRenderedPageBreak/>
              <w:t>测量通道数</w:t>
            </w:r>
          </w:p>
        </w:tc>
        <w:tc>
          <w:tcPr>
            <w:tcW w:w="3448" w:type="pct"/>
            <w:vAlign w:val="center"/>
          </w:tcPr>
          <w:p w14:paraId="3C75694A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双四通道</w:t>
            </w:r>
          </w:p>
        </w:tc>
      </w:tr>
      <w:tr w:rsidR="00AA7F5E" w14:paraId="3DB1B639" w14:textId="77777777" w:rsidTr="00BE0402">
        <w:trPr>
          <w:trHeight w:val="283"/>
        </w:trPr>
        <w:tc>
          <w:tcPr>
            <w:tcW w:w="1551" w:type="pct"/>
            <w:vAlign w:val="center"/>
          </w:tcPr>
          <w:p w14:paraId="7DA25236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测量池</w:t>
            </w:r>
          </w:p>
        </w:tc>
        <w:tc>
          <w:tcPr>
            <w:tcW w:w="3448" w:type="pct"/>
            <w:vAlign w:val="center"/>
          </w:tcPr>
          <w:p w14:paraId="5738EB8F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10mm </w:t>
            </w:r>
            <w:r>
              <w:rPr>
                <w:color w:val="000000" w:themeColor="text1"/>
                <w:szCs w:val="20"/>
              </w:rPr>
              <w:t>标准比色</w:t>
            </w:r>
            <w:proofErr w:type="gramStart"/>
            <w:r>
              <w:rPr>
                <w:color w:val="000000" w:themeColor="text1"/>
                <w:szCs w:val="20"/>
              </w:rPr>
              <w:t>皿</w:t>
            </w:r>
            <w:proofErr w:type="gramEnd"/>
          </w:p>
        </w:tc>
      </w:tr>
      <w:tr w:rsidR="00AA7F5E" w14:paraId="6CD9D750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65A88A69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屏幕</w:t>
            </w:r>
          </w:p>
        </w:tc>
        <w:tc>
          <w:tcPr>
            <w:tcW w:w="3448" w:type="pct"/>
            <w:vAlign w:val="center"/>
          </w:tcPr>
          <w:p w14:paraId="0DD2D8F5" w14:textId="77777777" w:rsidR="00AA7F5E" w:rsidRDefault="00AA7F5E" w:rsidP="00BE0402">
            <w:pPr>
              <w:pStyle w:val="LC0"/>
              <w:spacing w:line="276" w:lineRule="auto"/>
              <w:rPr>
                <w:rFonts w:eastAsia="Arial Unicode MS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液晶屏</w:t>
            </w:r>
            <w:r>
              <w:rPr>
                <w:rFonts w:hint="eastAsia"/>
              </w:rPr>
              <w:t>(</w:t>
            </w:r>
            <w:r>
              <w:rPr>
                <w:color w:val="000000" w:themeColor="text1"/>
                <w:szCs w:val="20"/>
              </w:rPr>
              <w:t>状态显示</w:t>
            </w:r>
            <w:r>
              <w:rPr>
                <w:rFonts w:hint="eastAsia"/>
              </w:rPr>
              <w:t>)</w:t>
            </w:r>
          </w:p>
        </w:tc>
      </w:tr>
      <w:tr w:rsidR="00AA7F5E" w14:paraId="3357F1BD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7C260D9F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操作方式</w:t>
            </w:r>
          </w:p>
        </w:tc>
        <w:tc>
          <w:tcPr>
            <w:tcW w:w="3448" w:type="pct"/>
            <w:vAlign w:val="center"/>
          </w:tcPr>
          <w:p w14:paraId="5AE58CD0" w14:textId="77777777" w:rsidR="00AA7F5E" w:rsidRDefault="00AA7F5E" w:rsidP="00BE0402">
            <w:pPr>
              <w:pStyle w:val="LC0"/>
              <w:spacing w:line="276" w:lineRule="auto"/>
              <w:rPr>
                <w:rFonts w:eastAsia="Arial Unicode MS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手机</w:t>
            </w:r>
            <w:r>
              <w:rPr>
                <w:color w:val="000000" w:themeColor="text1"/>
                <w:szCs w:val="20"/>
              </w:rPr>
              <w:t xml:space="preserve"> APP </w:t>
            </w:r>
            <w:r>
              <w:rPr>
                <w:color w:val="000000" w:themeColor="text1"/>
                <w:szCs w:val="20"/>
              </w:rPr>
              <w:t>操作</w:t>
            </w:r>
          </w:p>
        </w:tc>
      </w:tr>
      <w:tr w:rsidR="00AA7F5E" w14:paraId="69DE66D0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4FE1A1E5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测量参数</w:t>
            </w:r>
          </w:p>
        </w:tc>
        <w:tc>
          <w:tcPr>
            <w:tcW w:w="3448" w:type="pct"/>
            <w:vAlign w:val="center"/>
          </w:tcPr>
          <w:p w14:paraId="1E0CBDE9" w14:textId="77777777" w:rsidR="00AA7F5E" w:rsidRDefault="00AA7F5E" w:rsidP="00BE0402">
            <w:pPr>
              <w:pStyle w:val="LC0"/>
              <w:spacing w:line="276" w:lineRule="auto"/>
              <w:rPr>
                <w:rFonts w:eastAsia="Arial Unicode MS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约</w:t>
            </w:r>
            <w:r>
              <w:rPr>
                <w:color w:val="000000" w:themeColor="text1"/>
                <w:szCs w:val="20"/>
              </w:rPr>
              <w:t>30</w:t>
            </w:r>
            <w:r>
              <w:rPr>
                <w:color w:val="000000" w:themeColor="text1"/>
                <w:szCs w:val="20"/>
              </w:rPr>
              <w:t>项，可拓展</w:t>
            </w:r>
          </w:p>
        </w:tc>
      </w:tr>
      <w:tr w:rsidR="00AA7F5E" w14:paraId="14BA5CFB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141B2B3B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数据存储</w:t>
            </w:r>
          </w:p>
        </w:tc>
        <w:tc>
          <w:tcPr>
            <w:tcW w:w="3448" w:type="pct"/>
            <w:vAlign w:val="center"/>
          </w:tcPr>
          <w:p w14:paraId="71563EF6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手机</w:t>
            </w:r>
            <w:r>
              <w:rPr>
                <w:color w:val="000000" w:themeColor="text1"/>
                <w:szCs w:val="20"/>
              </w:rPr>
              <w:t xml:space="preserve"> APP </w:t>
            </w:r>
            <w:r>
              <w:rPr>
                <w:color w:val="000000" w:themeColor="text1"/>
                <w:szCs w:val="20"/>
              </w:rPr>
              <w:t>存储</w:t>
            </w:r>
          </w:p>
        </w:tc>
      </w:tr>
      <w:tr w:rsidR="00AA7F5E" w14:paraId="10FC1581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4C8DB52B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供电</w:t>
            </w:r>
          </w:p>
        </w:tc>
        <w:tc>
          <w:tcPr>
            <w:tcW w:w="3448" w:type="pct"/>
            <w:vAlign w:val="center"/>
          </w:tcPr>
          <w:p w14:paraId="736BFDFF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锂电池</w:t>
            </w:r>
          </w:p>
        </w:tc>
      </w:tr>
      <w:tr w:rsidR="00AA7F5E" w14:paraId="1D5200B6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31D19EB3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波长最大允许误差</w:t>
            </w:r>
          </w:p>
        </w:tc>
        <w:tc>
          <w:tcPr>
            <w:tcW w:w="3448" w:type="pct"/>
            <w:vAlign w:val="center"/>
          </w:tcPr>
          <w:p w14:paraId="51C212A4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±4nm</w:t>
            </w:r>
          </w:p>
        </w:tc>
      </w:tr>
      <w:tr w:rsidR="00AA7F5E" w14:paraId="097C494D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6DF20581" w14:textId="77777777" w:rsidR="00AA7F5E" w:rsidRDefault="00AA7F5E" w:rsidP="00BE0402">
            <w:pPr>
              <w:pStyle w:val="LC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透射比噪声与漂移</w:t>
            </w:r>
          </w:p>
        </w:tc>
        <w:tc>
          <w:tcPr>
            <w:tcW w:w="3448" w:type="pct"/>
            <w:vAlign w:val="center"/>
          </w:tcPr>
          <w:p w14:paraId="78CA1953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透射比为</w:t>
            </w:r>
            <w:r>
              <w:rPr>
                <w:color w:val="000000" w:themeColor="text1"/>
                <w:szCs w:val="20"/>
              </w:rPr>
              <w:t xml:space="preserve"> 0</w:t>
            </w:r>
            <w:r>
              <w:rPr>
                <w:color w:val="000000" w:themeColor="text1"/>
                <w:szCs w:val="20"/>
              </w:rPr>
              <w:t>％噪声：</w:t>
            </w:r>
            <w:r>
              <w:rPr>
                <w:color w:val="000000" w:themeColor="text1"/>
                <w:szCs w:val="20"/>
              </w:rPr>
              <w:t>≤ 0.2</w:t>
            </w:r>
            <w:r>
              <w:rPr>
                <w:color w:val="000000" w:themeColor="text1"/>
                <w:szCs w:val="20"/>
              </w:rPr>
              <w:t>％</w:t>
            </w:r>
          </w:p>
          <w:p w14:paraId="7C3A81E8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透射比为</w:t>
            </w:r>
            <w:r>
              <w:rPr>
                <w:color w:val="000000" w:themeColor="text1"/>
                <w:szCs w:val="20"/>
              </w:rPr>
              <w:t xml:space="preserve"> 100</w:t>
            </w:r>
            <w:r>
              <w:rPr>
                <w:color w:val="000000" w:themeColor="text1"/>
                <w:szCs w:val="20"/>
              </w:rPr>
              <w:t>％噪声：</w:t>
            </w:r>
            <w:r>
              <w:rPr>
                <w:color w:val="000000" w:themeColor="text1"/>
                <w:szCs w:val="20"/>
              </w:rPr>
              <w:t>≤ 0.5</w:t>
            </w:r>
            <w:r>
              <w:rPr>
                <w:color w:val="000000" w:themeColor="text1"/>
                <w:szCs w:val="20"/>
              </w:rPr>
              <w:t>％</w:t>
            </w:r>
          </w:p>
          <w:p w14:paraId="6B968BC1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漂移：</w:t>
            </w:r>
            <w:r>
              <w:rPr>
                <w:color w:val="000000" w:themeColor="text1"/>
                <w:szCs w:val="20"/>
              </w:rPr>
              <w:t>≤ 0.5%/30min</w:t>
            </w:r>
          </w:p>
        </w:tc>
      </w:tr>
      <w:tr w:rsidR="00AA7F5E" w14:paraId="0E25CA06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0014CEE4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透射比最大允许误差</w:t>
            </w:r>
          </w:p>
        </w:tc>
        <w:tc>
          <w:tcPr>
            <w:tcW w:w="3448" w:type="pct"/>
            <w:vAlign w:val="center"/>
          </w:tcPr>
          <w:p w14:paraId="3951B1FB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≤ 2.0</w:t>
            </w:r>
            <w:r>
              <w:rPr>
                <w:color w:val="000000" w:themeColor="text1"/>
                <w:szCs w:val="20"/>
              </w:rPr>
              <w:t>％</w:t>
            </w:r>
          </w:p>
        </w:tc>
      </w:tr>
      <w:tr w:rsidR="00AA7F5E" w14:paraId="64E9180A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5AC3EF24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透射比重复性</w:t>
            </w:r>
          </w:p>
        </w:tc>
        <w:tc>
          <w:tcPr>
            <w:tcW w:w="3448" w:type="pct"/>
            <w:vAlign w:val="center"/>
          </w:tcPr>
          <w:p w14:paraId="29BA234D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≤ 0.5</w:t>
            </w:r>
            <w:r>
              <w:rPr>
                <w:color w:val="000000" w:themeColor="text1"/>
                <w:szCs w:val="20"/>
              </w:rPr>
              <w:t>％</w:t>
            </w:r>
          </w:p>
        </w:tc>
      </w:tr>
      <w:tr w:rsidR="00AA7F5E" w14:paraId="4B15AA29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5D4C1405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透射比一致性</w:t>
            </w:r>
          </w:p>
        </w:tc>
        <w:tc>
          <w:tcPr>
            <w:tcW w:w="3448" w:type="pct"/>
            <w:vAlign w:val="center"/>
          </w:tcPr>
          <w:p w14:paraId="4AA8DC3B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≤ 1.0</w:t>
            </w:r>
            <w:r>
              <w:rPr>
                <w:color w:val="000000" w:themeColor="text1"/>
                <w:szCs w:val="20"/>
              </w:rPr>
              <w:t>％</w:t>
            </w:r>
          </w:p>
        </w:tc>
      </w:tr>
      <w:tr w:rsidR="00AA7F5E" w14:paraId="506FE0D8" w14:textId="77777777" w:rsidTr="00BE0402">
        <w:trPr>
          <w:trHeight w:val="311"/>
        </w:trPr>
        <w:tc>
          <w:tcPr>
            <w:tcW w:w="1551" w:type="pct"/>
            <w:vAlign w:val="center"/>
          </w:tcPr>
          <w:p w14:paraId="192DC1DC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尺寸</w:t>
            </w:r>
            <w:r>
              <w:rPr>
                <w:rFonts w:hint="eastAsia"/>
              </w:rPr>
              <w:t>(</w:t>
            </w:r>
            <w:r>
              <w:rPr>
                <w:color w:val="000000" w:themeColor="text1"/>
                <w:szCs w:val="20"/>
              </w:rPr>
              <w:t>mm</w:t>
            </w:r>
            <w:r>
              <w:rPr>
                <w:rFonts w:hint="eastAsia"/>
              </w:rPr>
              <w:t>)</w:t>
            </w:r>
            <w:r>
              <w:rPr>
                <w:color w:val="000000" w:themeColor="text1"/>
                <w:szCs w:val="20"/>
              </w:rPr>
              <w:t>，重量</w:t>
            </w:r>
            <w:r>
              <w:rPr>
                <w:rFonts w:hint="eastAsia"/>
              </w:rPr>
              <w:t>(</w:t>
            </w:r>
            <w:r>
              <w:rPr>
                <w:color w:val="000000" w:themeColor="text1"/>
                <w:szCs w:val="20"/>
              </w:rPr>
              <w:t>kg</w:t>
            </w:r>
            <w:r>
              <w:rPr>
                <w:rFonts w:hint="eastAsia"/>
              </w:rPr>
              <w:t>)</w:t>
            </w:r>
          </w:p>
        </w:tc>
        <w:tc>
          <w:tcPr>
            <w:tcW w:w="3448" w:type="pct"/>
            <w:vAlign w:val="center"/>
          </w:tcPr>
          <w:p w14:paraId="0B72DC08" w14:textId="77777777" w:rsidR="00AA7F5E" w:rsidRDefault="00AA7F5E" w:rsidP="00BE0402">
            <w:pPr>
              <w:pStyle w:val="LC0"/>
              <w:spacing w:line="276" w:lineRule="auto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250×80×125</w:t>
            </w:r>
            <w:r>
              <w:rPr>
                <w:color w:val="000000" w:themeColor="text1"/>
                <w:szCs w:val="20"/>
              </w:rPr>
              <w:t>，</w:t>
            </w:r>
            <w:r>
              <w:rPr>
                <w:color w:val="000000" w:themeColor="text1"/>
                <w:szCs w:val="20"/>
              </w:rPr>
              <w:t>1.1</w:t>
            </w:r>
          </w:p>
        </w:tc>
      </w:tr>
    </w:tbl>
    <w:p w14:paraId="6F119250" w14:textId="77777777" w:rsidR="00AA7F5E" w:rsidRDefault="00AA7F5E" w:rsidP="00AA7F5E">
      <w:pPr>
        <w:pStyle w:val="21"/>
        <w:rPr>
          <w:rFonts w:ascii="Arial Unicode MS" w:eastAsia="Arial Unicode MS" w:hAnsi="Arial Unicode MS" w:cstheme="minorBidi" w:hint="eastAsia"/>
          <w:sz w:val="22"/>
          <w:szCs w:val="21"/>
        </w:rPr>
      </w:pPr>
      <w:r>
        <w:rPr>
          <w:rFonts w:ascii="Arial Unicode MS" w:eastAsia="Arial Unicode MS" w:hAnsi="Arial Unicode MS" w:cstheme="minorBidi"/>
          <w:color w:val="231F20"/>
          <w:kern w:val="2"/>
          <w:sz w:val="18"/>
          <w:szCs w:val="21"/>
          <w:lang w:bidi="ar"/>
        </w:rPr>
        <w:t>注：本产品按照“仪器 + 工作试剂 + 校准试剂”选购销售，配置灵活，方便客户选择。样品需要消解的部分检测项目，需选配 COD-571-1 或者 COD-401-1 型消解器。</w:t>
      </w:r>
    </w:p>
    <w:p w14:paraId="1026EAB8" w14:textId="77777777" w:rsidR="008A34A6" w:rsidRPr="00AA7F5E" w:rsidRDefault="008A34A6">
      <w:pPr>
        <w:rPr>
          <w:rFonts w:hint="eastAsia"/>
        </w:rPr>
      </w:pPr>
    </w:p>
    <w:sectPr w:rsidR="008A34A6" w:rsidRPr="00AA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71C23E"/>
    <w:multiLevelType w:val="singleLevel"/>
    <w:tmpl w:val="8571C23E"/>
    <w:lvl w:ilvl="0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" w15:restartNumberingAfterBreak="0">
    <w:nsid w:val="25D210EB"/>
    <w:multiLevelType w:val="multilevel"/>
    <w:tmpl w:val="25D210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786697300">
    <w:abstractNumId w:val="2"/>
  </w:num>
  <w:num w:numId="2" w16cid:durableId="276985364">
    <w:abstractNumId w:val="1"/>
  </w:num>
  <w:num w:numId="3" w16cid:durableId="37913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5E"/>
    <w:rsid w:val="0052378D"/>
    <w:rsid w:val="008A34A6"/>
    <w:rsid w:val="00AA7F5E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0CE9"/>
  <w15:chartTrackingRefBased/>
  <w15:docId w15:val="{B9F31539-F76F-4E26-91A7-68597329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A7F5E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A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5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5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5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5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5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5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AA7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5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7F5E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AA7F5E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AA7F5E"/>
    <w:rPr>
      <w:rFonts w:ascii="Arial Unicode MS" w:eastAsia="Arial Unicode MS" w:hAnsi="Arial Unicode MS"/>
      <w:sz w:val="21"/>
      <w:szCs w:val="21"/>
      <w14:ligatures w14:val="none"/>
    </w:rPr>
  </w:style>
  <w:style w:type="paragraph" w:styleId="21">
    <w:name w:val="Body Text First Indent 2"/>
    <w:link w:val="22"/>
    <w:autoRedefine/>
    <w:qFormat/>
    <w:rsid w:val="00AA7F5E"/>
    <w:pPr>
      <w:spacing w:after="0" w:line="240" w:lineRule="auto"/>
      <w:ind w:firstLine="420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character" w:customStyle="1" w:styleId="22">
    <w:name w:val="正文文本首行缩进 2 字符"/>
    <w:basedOn w:val="af"/>
    <w:link w:val="21"/>
    <w:qFormat/>
    <w:rsid w:val="00AA7F5E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table" w:styleId="af0">
    <w:name w:val="Table Grid"/>
    <w:basedOn w:val="a1"/>
    <w:autoRedefine/>
    <w:uiPriority w:val="59"/>
    <w:qFormat/>
    <w:rsid w:val="00AA7F5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AA7F5E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AA7F5E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AA7F5E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2">
    <w:name w:val="LC文字内容 空2格"/>
    <w:basedOn w:val="a"/>
    <w:link w:val="LC2Char"/>
    <w:autoRedefine/>
    <w:qFormat/>
    <w:rsid w:val="00AA7F5E"/>
    <w:pPr>
      <w:ind w:firstLine="420"/>
    </w:pPr>
    <w:rPr>
      <w:rFonts w:ascii="Arial" w:eastAsia="微软雅黑" w:hAnsi="Arial" w:cs="Times New Roman"/>
    </w:rPr>
  </w:style>
  <w:style w:type="character" w:customStyle="1" w:styleId="LC2Char">
    <w:name w:val="LC文字内容 空2格 Char"/>
    <w:link w:val="LC2"/>
    <w:autoRedefine/>
    <w:qFormat/>
    <w:rsid w:val="00AA7F5E"/>
    <w:rPr>
      <w:rFonts w:ascii="Arial" w:eastAsia="微软雅黑" w:hAnsi="Arial" w:cs="Times New Roman"/>
      <w:sz w:val="21"/>
      <w:szCs w:val="21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AA7F5E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AA7F5E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AA7F5E"/>
    <w:rPr>
      <w:rFonts w:ascii="Arial" w:eastAsia="微软雅黑" w:hAnsi="Arial" w:cs="Arial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2024-07-29T07:55:00Z</dcterms:created>
  <dcterms:modified xsi:type="dcterms:W3CDTF">2024-07-29T07:56:00Z</dcterms:modified>
</cp:coreProperties>
</file>