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831C" w14:textId="77777777" w:rsidR="00214CB9" w:rsidRDefault="00214CB9" w:rsidP="00214CB9">
      <w:pPr>
        <w:pStyle w:val="LC3"/>
        <w:ind w:firstLine="560"/>
        <w:outlineLvl w:val="1"/>
        <w:rPr>
          <w:rFonts w:ascii="微软雅黑" w:eastAsia="微软雅黑" w:hAnsi="微软雅黑" w:cs="微软雅黑" w:hint="eastAsia"/>
        </w:rPr>
      </w:pPr>
      <w:bookmarkStart w:id="0" w:name="_Toc7367"/>
      <w:r>
        <w:rPr>
          <w:rFonts w:ascii="微软雅黑" w:eastAsia="微软雅黑" w:hAnsi="微软雅黑" w:cs="微软雅黑" w:hint="eastAsia"/>
          <w:color w:val="0000FF"/>
          <w:szCs w:val="21"/>
        </w:rPr>
        <w:t>TP-585型总磷在线自动监测仪</w:t>
      </w:r>
      <w:r>
        <w:rPr>
          <w:rFonts w:ascii="微软雅黑" w:eastAsia="微软雅黑" w:hAnsi="微软雅黑" w:cs="微软雅黑" w:hint="eastAsia"/>
        </w:rPr>
        <w:t>【特殊合同评审】</w:t>
      </w:r>
      <w:bookmarkEnd w:id="0"/>
    </w:p>
    <w:p w14:paraId="799EC1BA" w14:textId="77777777" w:rsidR="00214CB9" w:rsidRDefault="00214CB9" w:rsidP="00214CB9">
      <w:pPr>
        <w:ind w:firstLineChars="200" w:firstLine="420"/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anchor distT="0" distB="0" distL="114300" distR="114300" simplePos="0" relativeHeight="251659264" behindDoc="0" locked="0" layoutInCell="1" allowOverlap="1" wp14:anchorId="515A66AD" wp14:editId="1421CC39">
            <wp:simplePos x="0" y="0"/>
            <wp:positionH relativeFrom="column">
              <wp:posOffset>894715</wp:posOffset>
            </wp:positionH>
            <wp:positionV relativeFrom="paragraph">
              <wp:posOffset>235585</wp:posOffset>
            </wp:positionV>
            <wp:extent cx="1000125" cy="673100"/>
            <wp:effectExtent l="0" t="0" r="9525" b="0"/>
            <wp:wrapNone/>
            <wp:docPr id="35" name="currentImg" descr="https://timgsa.baidu.com/timg?image&amp;quality=80&amp;size=b9999_10000&amp;sec=1583472990030&amp;di=22c0e87d52b292752b28c64effe63ead&amp;imgtype=0&amp;src=http%3A%2F%2Ftu.ossfiles.cn%3A9186%2Fgroup1%2FM00%2F4F%2FF4%2FrBgIBlzmQWv_lNoNAAA9FpB5tT4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urrentImg" descr="https://timgsa.baidu.com/timg?image&amp;quality=80&amp;size=b9999_10000&amp;sec=1583472990030&amp;di=22c0e87d52b292752b28c64effe63ead&amp;imgtype=0&amp;src=http%3A%2F%2Ftu.ossfiles.cn%3A9186%2Fgroup1%2FM00%2F4F%2FF4%2FrBgIBlzmQWv_lNoNAAA9FpB5tT4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FA46438" wp14:editId="10A5BD6B">
            <wp:extent cx="2160270" cy="3749040"/>
            <wp:effectExtent l="0" t="0" r="0" b="0"/>
            <wp:docPr id="78" name="图片 78" descr="TP-585在线总磷(TP）自动监测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TP-585在线总磷(TP）自动监测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06D0" w14:textId="77777777" w:rsidR="00214CB9" w:rsidRDefault="00214CB9" w:rsidP="00214CB9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【应用领域】</w:t>
      </w:r>
    </w:p>
    <w:p w14:paraId="3CC13859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适于总磷在0～50mg/L范围内的废水大部分常见的离子不干扰测定，但是对于部分含有大量有机物的样品，测量结果可能会偏低</w:t>
      </w:r>
    </w:p>
    <w:p w14:paraId="5B9B7F8E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实验室</w:t>
      </w:r>
      <w:proofErr w:type="gramStart"/>
      <w:r>
        <w:rPr>
          <w:rFonts w:cs="微软雅黑" w:hint="eastAsia"/>
        </w:rPr>
        <w:t>及测现场</w:t>
      </w:r>
      <w:proofErr w:type="gramEnd"/>
      <w:r>
        <w:rPr>
          <w:rFonts w:cs="微软雅黑" w:hint="eastAsia"/>
        </w:rPr>
        <w:t>在线快速水质分析</w:t>
      </w:r>
    </w:p>
    <w:p w14:paraId="77794087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河流，湖泊水库，地下水水质在线监测</w:t>
      </w:r>
    </w:p>
    <w:p w14:paraId="01AD6200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自来水厂水质在线监测</w:t>
      </w:r>
    </w:p>
    <w:p w14:paraId="73953D4A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工业污染源废水在线监测</w:t>
      </w:r>
    </w:p>
    <w:p w14:paraId="3F5D2EEE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市政污水处理厂进出口水质在线监测</w:t>
      </w:r>
    </w:p>
    <w:p w14:paraId="74DE325B" w14:textId="77777777" w:rsidR="00214CB9" w:rsidRDefault="00214CB9" w:rsidP="00214CB9">
      <w:pPr>
        <w:pStyle w:val="LC1"/>
      </w:pPr>
      <w:r>
        <w:rPr>
          <w:rFonts w:hint="eastAsia"/>
        </w:rPr>
        <w:t>【原理</w:t>
      </w:r>
      <w:r>
        <w:rPr>
          <w:rFonts w:hint="eastAsia"/>
        </w:rPr>
        <w:t>&amp;</w:t>
      </w:r>
      <w:r>
        <w:rPr>
          <w:rFonts w:hint="eastAsia"/>
        </w:rPr>
        <w:t>标准</w:t>
      </w:r>
      <w:r>
        <w:rPr>
          <w:rFonts w:hint="eastAsia"/>
        </w:rPr>
        <w:t>&amp;</w:t>
      </w:r>
      <w:r>
        <w:rPr>
          <w:rFonts w:hint="eastAsia"/>
        </w:rPr>
        <w:t>配置】</w:t>
      </w:r>
    </w:p>
    <w:p w14:paraId="0B3EBB5B" w14:textId="77777777" w:rsidR="00214CB9" w:rsidRDefault="00214CB9" w:rsidP="00214CB9">
      <w:pPr>
        <w:pStyle w:val="LC"/>
        <w:rPr>
          <w:rFonts w:hint="eastAsia"/>
        </w:rPr>
      </w:pPr>
      <w:bookmarkStart w:id="1" w:name="OLE_LINK71"/>
      <w:r>
        <w:rPr>
          <w:rFonts w:cs="微软雅黑" w:hint="eastAsia"/>
        </w:rPr>
        <w:t>采用钼酸铵分光光度法测量水中总磷</w:t>
      </w:r>
      <w:bookmarkEnd w:id="1"/>
    </w:p>
    <w:p w14:paraId="00A653ED" w14:textId="77777777" w:rsidR="00214CB9" w:rsidRDefault="00214CB9" w:rsidP="00214CB9">
      <w:pPr>
        <w:pStyle w:val="LC"/>
        <w:rPr>
          <w:rFonts w:hint="eastAsia"/>
        </w:rPr>
      </w:pPr>
      <w:r>
        <w:rPr>
          <w:rFonts w:hint="eastAsia"/>
          <w:color w:val="0000FF"/>
        </w:rPr>
        <w:t>符合HJ/T 103-2003总磷水质自动分析仪技术要求</w:t>
      </w:r>
    </w:p>
    <w:p w14:paraId="07EE519D" w14:textId="77777777" w:rsidR="00214CB9" w:rsidRDefault="00214CB9" w:rsidP="00214CB9">
      <w:pPr>
        <w:pStyle w:val="LC1"/>
      </w:pPr>
      <w:r>
        <w:rPr>
          <w:rFonts w:hint="eastAsia"/>
        </w:rPr>
        <w:t>【主要特点】</w:t>
      </w:r>
    </w:p>
    <w:p w14:paraId="5CBDB573" w14:textId="77777777" w:rsidR="00214CB9" w:rsidRDefault="00214CB9" w:rsidP="00214CB9">
      <w:pPr>
        <w:pStyle w:val="LC"/>
        <w:rPr>
          <w:rFonts w:hint="eastAsia"/>
        </w:rPr>
      </w:pPr>
      <w:bookmarkStart w:id="2" w:name="OLE_LINK10"/>
      <w:r>
        <w:rPr>
          <w:rFonts w:cs="微软雅黑" w:hint="eastAsia"/>
        </w:rPr>
        <w:t>采用7寸彩色液晶触摸屏，显示清晰，操作便捷</w:t>
      </w:r>
    </w:p>
    <w:p w14:paraId="74E6D1B5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采用智能操作系统，</w:t>
      </w:r>
      <w:r>
        <w:rPr>
          <w:rFonts w:ascii="宋体" w:hAnsi="宋体" w:hint="eastAsia"/>
          <w:szCs w:val="21"/>
        </w:rPr>
        <w:t>三级登录权限</w:t>
      </w:r>
    </w:p>
    <w:p w14:paraId="5607F581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具有多种量程选择，并可实现自动量程切换，适应多变的工况需求</w:t>
      </w:r>
    </w:p>
    <w:p w14:paraId="0A622D4F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测量模式多样化，响应多种现场需求，支持整点测量、间隔测量、触发测量</w:t>
      </w:r>
    </w:p>
    <w:p w14:paraId="7370E233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lastRenderedPageBreak/>
        <w:t>支持自动校准和</w:t>
      </w:r>
      <w:proofErr w:type="gramStart"/>
      <w:r>
        <w:rPr>
          <w:rFonts w:cs="微软雅黑" w:hint="eastAsia"/>
        </w:rPr>
        <w:t>质控</w:t>
      </w:r>
      <w:proofErr w:type="gramEnd"/>
      <w:r>
        <w:rPr>
          <w:rFonts w:cs="微软雅黑" w:hint="eastAsia"/>
        </w:rPr>
        <w:t>测量，支持在质量控制模式下的测量样品，支持加标回收，零点漂移，平行样，标样核查，量程漂移，零点核查</w:t>
      </w:r>
    </w:p>
    <w:p w14:paraId="4CA2A8B3" w14:textId="77777777" w:rsidR="00214CB9" w:rsidRDefault="00214CB9" w:rsidP="00214CB9">
      <w:pPr>
        <w:pStyle w:val="LC"/>
        <w:rPr>
          <w:rFonts w:cs="微软雅黑" w:hint="eastAsia"/>
        </w:rPr>
      </w:pPr>
      <w:bookmarkStart w:id="3" w:name="OLE_LINK63"/>
      <w:r>
        <w:rPr>
          <w:rFonts w:cs="微软雅黑" w:hint="eastAsia"/>
        </w:rPr>
        <w:t>支持测量数据报警功能，可设置报警上，下限浓度</w:t>
      </w:r>
    </w:p>
    <w:p w14:paraId="172EC3B4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支持周期性自动清洗，</w:t>
      </w:r>
      <w:bookmarkEnd w:id="3"/>
      <w:r>
        <w:rPr>
          <w:rFonts w:cs="微软雅黑" w:hint="eastAsia"/>
        </w:rPr>
        <w:t>防止试剂在管道内结晶，影响测量或堵塞软管，降低运维工作量，提升仪器</w:t>
      </w:r>
      <w:proofErr w:type="gramStart"/>
      <w:r>
        <w:rPr>
          <w:rFonts w:cs="微软雅黑" w:hint="eastAsia"/>
        </w:rPr>
        <w:t>可靠性低运维</w:t>
      </w:r>
      <w:proofErr w:type="gramEnd"/>
      <w:r>
        <w:rPr>
          <w:rFonts w:cs="微软雅黑" w:hint="eastAsia"/>
        </w:rPr>
        <w:t>成本</w:t>
      </w:r>
    </w:p>
    <w:p w14:paraId="7816A0B6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内部布局清晰合理，水电分离，流路直观</w:t>
      </w:r>
      <w:bookmarkEnd w:id="2"/>
    </w:p>
    <w:p w14:paraId="17205B88" w14:textId="77777777" w:rsidR="00214CB9" w:rsidRDefault="00214CB9" w:rsidP="00214CB9">
      <w:pPr>
        <w:pStyle w:val="LC"/>
        <w:numPr>
          <w:ilvl w:val="0"/>
          <w:numId w:val="0"/>
        </w:numPr>
        <w:ind w:leftChars="200" w:left="420"/>
        <w:rPr>
          <w:rFonts w:cs="微软雅黑" w:hint="eastAsia"/>
        </w:rPr>
      </w:pPr>
    </w:p>
    <w:p w14:paraId="4F643C28" w14:textId="77777777" w:rsidR="00214CB9" w:rsidRDefault="00214CB9" w:rsidP="00214CB9">
      <w:pPr>
        <w:pStyle w:val="LC1"/>
      </w:pPr>
      <w:r>
        <w:rPr>
          <w:rFonts w:hint="eastAsia"/>
        </w:rPr>
        <w:t>【数据上传和管理】</w:t>
      </w:r>
      <w:r>
        <w:rPr>
          <w:rFonts w:hint="eastAsia"/>
        </w:rPr>
        <w:t xml:space="preserve"> </w:t>
      </w:r>
    </w:p>
    <w:p w14:paraId="5364BCDF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 xml:space="preserve">仪器的数据交换传输格式满足 HJ/T 212-2017 污染物在线监控（监测）系统数据传输标准的规定 </w:t>
      </w:r>
    </w:p>
    <w:p w14:paraId="5AAE97E5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具有（4～20）mA DC隔离信号输出，输出上限和输出下限可任意设置</w:t>
      </w:r>
    </w:p>
    <w:p w14:paraId="770600B5" w14:textId="77777777" w:rsidR="00214CB9" w:rsidRDefault="00214CB9" w:rsidP="00214CB9">
      <w:pPr>
        <w:pStyle w:val="LC"/>
        <w:rPr>
          <w:rFonts w:cs="微软雅黑" w:hint="eastAsia"/>
        </w:rPr>
      </w:pPr>
      <w:bookmarkStart w:id="4" w:name="OLE_LINK22"/>
      <w:r>
        <w:rPr>
          <w:rFonts w:cs="微软雅黑" w:hint="eastAsia"/>
        </w:rPr>
        <w:t>具有RS232或RS485数字接口，支持数据上传和远程通讯</w:t>
      </w:r>
    </w:p>
    <w:bookmarkEnd w:id="4"/>
    <w:p w14:paraId="3C561BC3" w14:textId="77777777" w:rsidR="00214CB9" w:rsidRDefault="00214CB9" w:rsidP="00214CB9">
      <w:pPr>
        <w:pStyle w:val="LC"/>
        <w:rPr>
          <w:rFonts w:cs="微软雅黑" w:hint="eastAsia"/>
        </w:rPr>
      </w:pPr>
      <w:r>
        <w:rPr>
          <w:rFonts w:cs="微软雅黑" w:hint="eastAsia"/>
        </w:rPr>
        <w:t>支持测量数据和标定数据的自动保存，支持历史数据的保存和查阅</w:t>
      </w:r>
    </w:p>
    <w:p w14:paraId="4E73D2FE" w14:textId="77777777" w:rsidR="00214CB9" w:rsidRDefault="00214CB9" w:rsidP="00214CB9">
      <w:pPr>
        <w:rPr>
          <w:rFonts w:hint="eastAsia"/>
        </w:rPr>
      </w:pPr>
    </w:p>
    <w:p w14:paraId="4C723B3B" w14:textId="77777777" w:rsidR="00214CB9" w:rsidRDefault="00214CB9" w:rsidP="00214CB9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【技术参数】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2057"/>
        <w:gridCol w:w="6465"/>
      </w:tblGrid>
      <w:tr w:rsidR="00214CB9" w14:paraId="1657AB6F" w14:textId="77777777" w:rsidTr="005C0A81">
        <w:trPr>
          <w:trHeight w:val="286"/>
        </w:trPr>
        <w:tc>
          <w:tcPr>
            <w:tcW w:w="2057" w:type="dxa"/>
            <w:vAlign w:val="center"/>
          </w:tcPr>
          <w:p w14:paraId="555721EC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型号</w:t>
            </w:r>
          </w:p>
        </w:tc>
        <w:tc>
          <w:tcPr>
            <w:tcW w:w="6465" w:type="dxa"/>
          </w:tcPr>
          <w:p w14:paraId="0ABD2C43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 xml:space="preserve">TP-585 </w:t>
            </w:r>
          </w:p>
        </w:tc>
      </w:tr>
      <w:tr w:rsidR="00214CB9" w14:paraId="4915FDC0" w14:textId="77777777" w:rsidTr="005C0A81">
        <w:tc>
          <w:tcPr>
            <w:tcW w:w="2057" w:type="dxa"/>
          </w:tcPr>
          <w:p w14:paraId="3C58716E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测量方法</w:t>
            </w:r>
          </w:p>
        </w:tc>
        <w:tc>
          <w:tcPr>
            <w:tcW w:w="6465" w:type="dxa"/>
          </w:tcPr>
          <w:p w14:paraId="280453F7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钼酸铵分光光度法</w:t>
            </w:r>
          </w:p>
        </w:tc>
      </w:tr>
      <w:tr w:rsidR="00214CB9" w14:paraId="6762E026" w14:textId="77777777" w:rsidTr="005C0A81">
        <w:tc>
          <w:tcPr>
            <w:tcW w:w="2057" w:type="dxa"/>
          </w:tcPr>
          <w:p w14:paraId="6BB4927A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测量范围</w:t>
            </w:r>
          </w:p>
        </w:tc>
        <w:tc>
          <w:tcPr>
            <w:tcW w:w="6465" w:type="dxa"/>
          </w:tcPr>
          <w:p w14:paraId="09644976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(0～200) mg/L</w:t>
            </w:r>
          </w:p>
        </w:tc>
      </w:tr>
      <w:tr w:rsidR="00214CB9" w14:paraId="30C26CDB" w14:textId="77777777" w:rsidTr="005C0A81">
        <w:trPr>
          <w:trHeight w:val="243"/>
        </w:trPr>
        <w:tc>
          <w:tcPr>
            <w:tcW w:w="2057" w:type="dxa"/>
          </w:tcPr>
          <w:p w14:paraId="573DF90E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重复性误差</w:t>
            </w:r>
          </w:p>
        </w:tc>
        <w:tc>
          <w:tcPr>
            <w:tcW w:w="6465" w:type="dxa"/>
          </w:tcPr>
          <w:p w14:paraId="7F887376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≤10%</w:t>
            </w:r>
          </w:p>
        </w:tc>
      </w:tr>
      <w:tr w:rsidR="00214CB9" w14:paraId="49631103" w14:textId="77777777" w:rsidTr="005C0A81">
        <w:tc>
          <w:tcPr>
            <w:tcW w:w="2057" w:type="dxa"/>
          </w:tcPr>
          <w:p w14:paraId="2DD6D21F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零点漂移</w:t>
            </w:r>
          </w:p>
        </w:tc>
        <w:tc>
          <w:tcPr>
            <w:tcW w:w="6465" w:type="dxa"/>
          </w:tcPr>
          <w:p w14:paraId="2547AA75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±5%</w:t>
            </w:r>
          </w:p>
        </w:tc>
      </w:tr>
      <w:tr w:rsidR="00214CB9" w14:paraId="7B20DD14" w14:textId="77777777" w:rsidTr="005C0A81">
        <w:tc>
          <w:tcPr>
            <w:tcW w:w="2057" w:type="dxa"/>
          </w:tcPr>
          <w:p w14:paraId="78907701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bookmarkStart w:id="5" w:name="OLE_LINK67"/>
            <w:r>
              <w:rPr>
                <w:rFonts w:cs="微软雅黑" w:hint="eastAsia"/>
              </w:rPr>
              <w:t>量程漂移</w:t>
            </w:r>
            <w:bookmarkEnd w:id="5"/>
          </w:p>
        </w:tc>
        <w:tc>
          <w:tcPr>
            <w:tcW w:w="6465" w:type="dxa"/>
          </w:tcPr>
          <w:p w14:paraId="5932562D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±10%</w:t>
            </w:r>
          </w:p>
        </w:tc>
      </w:tr>
      <w:tr w:rsidR="00214CB9" w14:paraId="5E297CEF" w14:textId="77777777" w:rsidTr="005C0A81">
        <w:tc>
          <w:tcPr>
            <w:tcW w:w="2057" w:type="dxa"/>
          </w:tcPr>
          <w:p w14:paraId="36CE3536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 xml:space="preserve">直线性 </w:t>
            </w:r>
          </w:p>
        </w:tc>
        <w:tc>
          <w:tcPr>
            <w:tcW w:w="6465" w:type="dxa"/>
          </w:tcPr>
          <w:p w14:paraId="1FDC36A8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±10%</w:t>
            </w:r>
          </w:p>
        </w:tc>
      </w:tr>
      <w:tr w:rsidR="00214CB9" w14:paraId="2FB5AFE2" w14:textId="77777777" w:rsidTr="005C0A81">
        <w:trPr>
          <w:trHeight w:val="90"/>
        </w:trPr>
        <w:tc>
          <w:tcPr>
            <w:tcW w:w="2057" w:type="dxa"/>
          </w:tcPr>
          <w:p w14:paraId="78AAB59C" w14:textId="77777777" w:rsidR="00214CB9" w:rsidRDefault="00214CB9" w:rsidP="005C0A81">
            <w:pPr>
              <w:pStyle w:val="LC0"/>
              <w:rPr>
                <w:rFonts w:cs="微软雅黑" w:hint="eastAsia"/>
              </w:rPr>
            </w:pPr>
            <w:r>
              <w:rPr>
                <w:rFonts w:hint="eastAsia"/>
              </w:rPr>
              <w:t>测量周期</w:t>
            </w:r>
          </w:p>
        </w:tc>
        <w:tc>
          <w:tcPr>
            <w:tcW w:w="6465" w:type="dxa"/>
          </w:tcPr>
          <w:p w14:paraId="48062B3D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最小测量周期为50min</w:t>
            </w:r>
          </w:p>
        </w:tc>
      </w:tr>
      <w:tr w:rsidR="00214CB9" w14:paraId="4D803FB2" w14:textId="77777777" w:rsidTr="005C0A81">
        <w:tc>
          <w:tcPr>
            <w:tcW w:w="2057" w:type="dxa"/>
          </w:tcPr>
          <w:p w14:paraId="68293A14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测样方式</w:t>
            </w:r>
          </w:p>
        </w:tc>
        <w:tc>
          <w:tcPr>
            <w:tcW w:w="6465" w:type="dxa"/>
          </w:tcPr>
          <w:p w14:paraId="10A60E53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整点、间隔、继电器（选配）、(4-20)mA（选配）、(0-5)V（选配）、质</w:t>
            </w:r>
            <w:proofErr w:type="gramStart"/>
            <w:r>
              <w:rPr>
                <w:rFonts w:cs="微软雅黑" w:hint="eastAsia"/>
                <w:szCs w:val="21"/>
              </w:rPr>
              <w:t>控方式</w:t>
            </w:r>
            <w:proofErr w:type="gramEnd"/>
          </w:p>
        </w:tc>
      </w:tr>
      <w:tr w:rsidR="00214CB9" w14:paraId="1D8C842C" w14:textId="77777777" w:rsidTr="005C0A81">
        <w:tc>
          <w:tcPr>
            <w:tcW w:w="2057" w:type="dxa"/>
          </w:tcPr>
          <w:p w14:paraId="4C187CAF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标定周期</w:t>
            </w:r>
          </w:p>
        </w:tc>
        <w:tc>
          <w:tcPr>
            <w:tcW w:w="6465" w:type="dxa"/>
          </w:tcPr>
          <w:p w14:paraId="62742A6D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(0～99)天任意间隔任意时刻可调</w:t>
            </w:r>
          </w:p>
        </w:tc>
      </w:tr>
      <w:tr w:rsidR="00214CB9" w14:paraId="1A61457B" w14:textId="77777777" w:rsidTr="005C0A81">
        <w:trPr>
          <w:trHeight w:val="90"/>
        </w:trPr>
        <w:tc>
          <w:tcPr>
            <w:tcW w:w="2057" w:type="dxa"/>
          </w:tcPr>
          <w:p w14:paraId="32B74707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维护周期</w:t>
            </w:r>
          </w:p>
        </w:tc>
        <w:tc>
          <w:tcPr>
            <w:tcW w:w="6465" w:type="dxa"/>
          </w:tcPr>
          <w:p w14:paraId="3C2CB67A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color w:val="000000"/>
                <w:szCs w:val="18"/>
              </w:rPr>
              <w:t>≥1次/月</w:t>
            </w:r>
          </w:p>
        </w:tc>
      </w:tr>
      <w:tr w:rsidR="00214CB9" w14:paraId="6781E737" w14:textId="77777777" w:rsidTr="005C0A81">
        <w:tc>
          <w:tcPr>
            <w:tcW w:w="2057" w:type="dxa"/>
          </w:tcPr>
          <w:p w14:paraId="20B34D63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输出</w:t>
            </w:r>
          </w:p>
        </w:tc>
        <w:tc>
          <w:tcPr>
            <w:tcW w:w="6465" w:type="dxa"/>
          </w:tcPr>
          <w:p w14:paraId="19AC904E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RS232或RS485；</w:t>
            </w:r>
          </w:p>
          <w:p w14:paraId="0C28C2CD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 xml:space="preserve">              1路4～20mA输出（可选2路4～20mA输出，</w:t>
            </w:r>
            <w:proofErr w:type="gramStart"/>
            <w:r>
              <w:rPr>
                <w:rFonts w:cs="微软雅黑" w:hint="eastAsia"/>
                <w:szCs w:val="21"/>
              </w:rPr>
              <w:t>标配一路</w:t>
            </w:r>
            <w:proofErr w:type="gramEnd"/>
            <w:r>
              <w:rPr>
                <w:rFonts w:cs="微软雅黑" w:hint="eastAsia"/>
                <w:szCs w:val="21"/>
              </w:rPr>
              <w:t>）；</w:t>
            </w:r>
          </w:p>
          <w:p w14:paraId="12C5EA5F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继电器输出（可选2路输出，不标配）;</w:t>
            </w:r>
          </w:p>
          <w:p w14:paraId="4DBD0552" w14:textId="77777777" w:rsidR="00214CB9" w:rsidRDefault="00214CB9" w:rsidP="005C0A81">
            <w:pPr>
              <w:pStyle w:val="LC0"/>
              <w:rPr>
                <w:rFonts w:cs="微软雅黑" w:hint="eastAsia"/>
                <w:szCs w:val="21"/>
              </w:rPr>
            </w:pPr>
            <w:r>
              <w:rPr>
                <w:rFonts w:cs="微软雅黑" w:hint="eastAsia"/>
                <w:szCs w:val="21"/>
              </w:rPr>
              <w:t>打印机输出（可选项，不标配）。</w:t>
            </w:r>
          </w:p>
        </w:tc>
      </w:tr>
      <w:tr w:rsidR="00214CB9" w14:paraId="412BB699" w14:textId="77777777" w:rsidTr="005C0A81">
        <w:tc>
          <w:tcPr>
            <w:tcW w:w="2057" w:type="dxa"/>
            <w:vAlign w:val="center"/>
          </w:tcPr>
          <w:p w14:paraId="7D900D4E" w14:textId="77777777" w:rsidR="00214CB9" w:rsidRDefault="00214CB9" w:rsidP="005C0A81">
            <w:pPr>
              <w:pStyle w:val="LC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自动恢复功能</w:t>
            </w:r>
          </w:p>
        </w:tc>
        <w:tc>
          <w:tcPr>
            <w:tcW w:w="6465" w:type="dxa"/>
            <w:vAlign w:val="center"/>
          </w:tcPr>
          <w:p w14:paraId="1A5B71DC" w14:textId="77777777" w:rsidR="00214CB9" w:rsidRDefault="00214CB9" w:rsidP="005C0A81">
            <w:pPr>
              <w:pStyle w:val="LC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异常报警或自动处理，处理完毕后自行恢复到原工作状态</w:t>
            </w:r>
          </w:p>
        </w:tc>
      </w:tr>
      <w:tr w:rsidR="00214CB9" w14:paraId="390200BA" w14:textId="77777777" w:rsidTr="005C0A81">
        <w:tc>
          <w:tcPr>
            <w:tcW w:w="2057" w:type="dxa"/>
            <w:vAlign w:val="center"/>
          </w:tcPr>
          <w:p w14:paraId="4508F5D5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使用环境</w:t>
            </w:r>
          </w:p>
        </w:tc>
        <w:tc>
          <w:tcPr>
            <w:tcW w:w="6465" w:type="dxa"/>
            <w:vAlign w:val="center"/>
          </w:tcPr>
          <w:p w14:paraId="03CBB596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环境温度: （5~40）℃，相对湿度：85％</w:t>
            </w:r>
            <w:r>
              <w:rPr>
                <w:color w:val="000000"/>
                <w:szCs w:val="18"/>
              </w:rPr>
              <w:t>，无结露</w:t>
            </w:r>
          </w:p>
        </w:tc>
      </w:tr>
      <w:tr w:rsidR="00214CB9" w14:paraId="19F6E681" w14:textId="77777777" w:rsidTr="005C0A81">
        <w:tc>
          <w:tcPr>
            <w:tcW w:w="2057" w:type="dxa"/>
            <w:vAlign w:val="center"/>
          </w:tcPr>
          <w:p w14:paraId="1CE2B31E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电源</w:t>
            </w:r>
          </w:p>
        </w:tc>
        <w:tc>
          <w:tcPr>
            <w:tcW w:w="6465" w:type="dxa"/>
            <w:vAlign w:val="center"/>
          </w:tcPr>
          <w:p w14:paraId="3FFE4DAE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AC(220±22)V， (50±0.5)Hz，5A</w:t>
            </w:r>
          </w:p>
        </w:tc>
      </w:tr>
      <w:tr w:rsidR="00214CB9" w14:paraId="083AC313" w14:textId="77777777" w:rsidTr="005C0A81">
        <w:tc>
          <w:tcPr>
            <w:tcW w:w="2057" w:type="dxa"/>
            <w:vAlign w:val="center"/>
          </w:tcPr>
          <w:p w14:paraId="2FF5919F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尺寸mm</w:t>
            </w:r>
          </w:p>
        </w:tc>
        <w:tc>
          <w:tcPr>
            <w:tcW w:w="6465" w:type="dxa"/>
            <w:vAlign w:val="center"/>
          </w:tcPr>
          <w:p w14:paraId="7AE0416C" w14:textId="77777777" w:rsidR="00214CB9" w:rsidRDefault="00214CB9" w:rsidP="005C0A81">
            <w:pPr>
              <w:pStyle w:val="LC0"/>
              <w:rPr>
                <w:rFonts w:hint="eastAsia"/>
              </w:rPr>
            </w:pPr>
            <w:r>
              <w:rPr>
                <w:color w:val="000000"/>
                <w:szCs w:val="18"/>
              </w:rPr>
              <w:t>500×403×1430</w:t>
            </w:r>
          </w:p>
        </w:tc>
      </w:tr>
    </w:tbl>
    <w:p w14:paraId="0BD97902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A5F8"/>
    <w:multiLevelType w:val="multilevel"/>
    <w:tmpl w:val="43CDA5F8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54705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B9"/>
    <w:rsid w:val="00214CB9"/>
    <w:rsid w:val="008A34A6"/>
    <w:rsid w:val="00BA12A4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9BF4"/>
  <w15:chartTrackingRefBased/>
  <w15:docId w15:val="{9F863F90-9113-4959-B854-DE85E109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214CB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4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1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C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21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C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CB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C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C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C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C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C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214CB9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0">
    <w:name w:val="LC表"/>
    <w:link w:val="LCChar"/>
    <w:autoRedefine/>
    <w:qFormat/>
    <w:rsid w:val="00214CB9"/>
    <w:pPr>
      <w:adjustRightInd w:val="0"/>
      <w:snapToGrid w:val="0"/>
      <w:spacing w:after="0" w:line="240" w:lineRule="auto"/>
      <w:jc w:val="center"/>
    </w:pPr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0"/>
    <w:autoRedefine/>
    <w:qFormat/>
    <w:rsid w:val="00214CB9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0">
    <w:name w:val="LC 文字内容 带符号编码 Char"/>
    <w:link w:val="LC"/>
    <w:autoRedefine/>
    <w:qFormat/>
    <w:rsid w:val="00214CB9"/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214CB9"/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autoRedefine/>
    <w:qFormat/>
    <w:rsid w:val="00214CB9"/>
    <w:pPr>
      <w:outlineLvl w:val="3"/>
    </w:pPr>
    <w:rPr>
      <w:rFonts w:ascii="Times New Roman" w:eastAsia="微软雅黑" w:hAnsi="Times New Roman"/>
      <w:b/>
    </w:rPr>
  </w:style>
  <w:style w:type="paragraph" w:customStyle="1" w:styleId="LC3">
    <w:name w:val="LC 标题3"/>
    <w:basedOn w:val="a"/>
    <w:next w:val="a"/>
    <w:link w:val="LC3Char"/>
    <w:autoRedefine/>
    <w:qFormat/>
    <w:rsid w:val="00214CB9"/>
    <w:pPr>
      <w:keepNext/>
      <w:keepLines/>
      <w:adjustRightInd w:val="0"/>
      <w:snapToGrid w:val="0"/>
      <w:spacing w:before="260" w:after="260" w:line="416" w:lineRule="auto"/>
      <w:ind w:firstLineChars="200" w:firstLine="420"/>
      <w:jc w:val="center"/>
      <w:outlineLvl w:val="2"/>
    </w:pPr>
    <w:rPr>
      <w:rFonts w:ascii="Arial Unicode MS" w:eastAsia="Arial Unicode MS" w:hAnsi="Arial Unicode MS"/>
      <w:b/>
      <w:bCs/>
      <w:sz w:val="28"/>
      <w:szCs w:val="32"/>
    </w:rPr>
  </w:style>
  <w:style w:type="character" w:customStyle="1" w:styleId="LC3Char">
    <w:name w:val="LC 标题3 Char"/>
    <w:link w:val="LC3"/>
    <w:autoRedefine/>
    <w:qFormat/>
    <w:rsid w:val="00214CB9"/>
    <w:rPr>
      <w:rFonts w:ascii="Arial Unicode MS" w:eastAsia="Arial Unicode MS" w:hAnsi="Arial Unicode MS"/>
      <w:b/>
      <w:bCs/>
      <w:sz w:val="28"/>
      <w:szCs w:val="32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214CB9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semiHidden/>
    <w:rsid w:val="00214CB9"/>
    <w:rPr>
      <w:sz w:val="21"/>
      <w:szCs w:val="22"/>
      <w14:ligatures w14:val="none"/>
    </w:rPr>
  </w:style>
  <w:style w:type="paragraph" w:styleId="2">
    <w:name w:val="Body Text First Indent 2"/>
    <w:basedOn w:val="af"/>
    <w:link w:val="22"/>
    <w:uiPriority w:val="99"/>
    <w:semiHidden/>
    <w:unhideWhenUsed/>
    <w:rsid w:val="00214CB9"/>
    <w:pPr>
      <w:ind w:firstLineChars="200" w:firstLine="420"/>
    </w:pPr>
  </w:style>
  <w:style w:type="character" w:customStyle="1" w:styleId="22">
    <w:name w:val="正文文本首行缩进 2 字符"/>
    <w:basedOn w:val="af0"/>
    <w:link w:val="2"/>
    <w:uiPriority w:val="99"/>
    <w:semiHidden/>
    <w:rsid w:val="00214CB9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2024-10-15T06:46:00Z</dcterms:created>
  <dcterms:modified xsi:type="dcterms:W3CDTF">2024-10-15T06:46:00Z</dcterms:modified>
</cp:coreProperties>
</file>