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53CE" w14:textId="77777777" w:rsidR="000420B3" w:rsidRDefault="000420B3" w:rsidP="000420B3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DDSJ-319L型电导率仪</w:t>
      </w:r>
      <w:r>
        <w:rPr>
          <w:rFonts w:ascii="微软雅黑" w:eastAsia="微软雅黑" w:hAnsi="微软雅黑" w:cs="微软雅黑" w:hint="eastAsia"/>
        </w:rPr>
        <w:t>(2024升级版)</w:t>
      </w:r>
      <w:r>
        <w:rPr>
          <w:rFonts w:ascii="微软雅黑" w:eastAsia="微软雅黑" w:hAnsi="微软雅黑" w:cs="微软雅黑" w:hint="eastAsia"/>
          <w:sz w:val="24"/>
          <w:szCs w:val="24"/>
        </w:rPr>
        <w:t>(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标配二环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电导检测模块)</w:t>
      </w:r>
    </w:p>
    <w:p w14:paraId="3EA2C873" w14:textId="77777777" w:rsidR="000420B3" w:rsidRDefault="000420B3" w:rsidP="000420B3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2A98BA9" wp14:editId="3D5F722A">
            <wp:extent cx="3466465" cy="2792730"/>
            <wp:effectExtent l="0" t="0" r="8255" b="11430"/>
            <wp:docPr id="46" name="图片 46" descr="e77548c40c9a96ea59ae14abf50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e77548c40c9a96ea59ae14abf5061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A99D" w14:textId="77777777" w:rsidR="000420B3" w:rsidRDefault="000420B3" w:rsidP="000420B3">
      <w:pPr>
        <w:jc w:val="center"/>
        <w:rPr>
          <w:rFonts w:ascii="微软雅黑" w:eastAsia="微软雅黑" w:hAnsi="微软雅黑" w:cs="微软雅黑" w:hint="eastAsia"/>
        </w:rPr>
      </w:pPr>
    </w:p>
    <w:p w14:paraId="7CA7AA99" w14:textId="77777777" w:rsidR="000420B3" w:rsidRDefault="000420B3" w:rsidP="000420B3">
      <w:pPr>
        <w:pStyle w:val="LC1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主要特点</w:t>
      </w:r>
    </w:p>
    <w:p w14:paraId="4748A31F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采用7英寸高清彩色液晶触摸屏，显示清晰</w:t>
      </w:r>
    </w:p>
    <w:p w14:paraId="48A6B9B2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3F2ECEE9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</w:t>
      </w:r>
    </w:p>
    <w:p w14:paraId="01C4940B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6D7023D7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021BD1A5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00464597" w14:textId="77777777" w:rsidR="000420B3" w:rsidRDefault="000420B3" w:rsidP="000420B3">
      <w:pPr>
        <w:rPr>
          <w:rFonts w:ascii="微软雅黑" w:eastAsia="微软雅黑" w:hAnsi="微软雅黑" w:cs="微软雅黑" w:hint="eastAsia"/>
        </w:rPr>
      </w:pPr>
    </w:p>
    <w:p w14:paraId="22E87080" w14:textId="77777777" w:rsidR="000420B3" w:rsidRDefault="000420B3" w:rsidP="000420B3">
      <w:pPr>
        <w:pStyle w:val="LC1"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模块化、多通道</w:t>
      </w:r>
    </w:p>
    <w:p w14:paraId="4A30A347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bookmarkStart w:id="0" w:name="OLE_LINK196"/>
      <w:r>
        <w:rPr>
          <w:rFonts w:ascii="微软雅黑" w:hAnsi="微软雅黑" w:cs="微软雅黑" w:hint="eastAsia"/>
        </w:rPr>
        <w:t>4个测量通道，支持1~4个</w:t>
      </w:r>
      <w:r>
        <w:rPr>
          <w:rFonts w:ascii="微软雅黑" w:hAnsi="微软雅黑" w:cs="微软雅黑" w:hint="eastAsia"/>
          <w:szCs w:val="21"/>
        </w:rPr>
        <w:t>电导</w:t>
      </w:r>
      <w:r>
        <w:rPr>
          <w:rFonts w:ascii="微软雅黑" w:hAnsi="微软雅黑" w:cs="微软雅黑" w:hint="eastAsia"/>
        </w:rPr>
        <w:t>测量模块</w:t>
      </w:r>
    </w:p>
    <w:p w14:paraId="46F4C0FF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支持2种</w:t>
      </w:r>
      <w:r>
        <w:rPr>
          <w:rFonts w:ascii="微软雅黑" w:hAnsi="微软雅黑" w:cs="微软雅黑" w:hint="eastAsia"/>
          <w:szCs w:val="21"/>
        </w:rPr>
        <w:t>电导</w:t>
      </w:r>
      <w:r>
        <w:rPr>
          <w:rFonts w:ascii="微软雅黑" w:hAnsi="微软雅黑" w:cs="微软雅黑" w:hint="eastAsia"/>
        </w:rPr>
        <w:t>测量模块：</w:t>
      </w:r>
      <w:r>
        <w:rPr>
          <w:rFonts w:ascii="微软雅黑" w:hAnsi="微软雅黑" w:cs="微软雅黑" w:hint="eastAsia"/>
          <w:szCs w:val="21"/>
        </w:rPr>
        <w:t>EC-T电导测量模块(二环电导测量模块)、EC-F电导测量模块(</w:t>
      </w:r>
      <w:r>
        <w:rPr>
          <w:rFonts w:ascii="微软雅黑" w:hAnsi="微软雅黑" w:cs="微软雅黑" w:hint="eastAsia"/>
        </w:rPr>
        <w:t>四环电导模块</w:t>
      </w:r>
      <w:r>
        <w:rPr>
          <w:rFonts w:ascii="微软雅黑" w:hAnsi="微软雅黑" w:cs="微软雅黑" w:hint="eastAsia"/>
          <w:szCs w:val="21"/>
        </w:rPr>
        <w:t>)</w:t>
      </w:r>
    </w:p>
    <w:p w14:paraId="369CC72F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自由组合，自动识别，即插即用</w:t>
      </w:r>
    </w:p>
    <w:p w14:paraId="37923A08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结合测量通道，支持多种测量项目：电导率、电阻率、TDS、盐度、灰分、温度</w:t>
      </w:r>
    </w:p>
    <w:bookmarkEnd w:id="0"/>
    <w:p w14:paraId="7FC90438" w14:textId="77777777" w:rsidR="000420B3" w:rsidRDefault="000420B3" w:rsidP="000420B3">
      <w:pPr>
        <w:pStyle w:val="LC1"/>
        <w:widowControl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智能操作、自动识别、批量检测</w:t>
      </w:r>
    </w:p>
    <w:p w14:paraId="5DB3C4D7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智能操作系统，具有用户管理、方法管理、方法管理、样品管理、电极管理、数据管理、GMP管理等功能</w:t>
      </w:r>
    </w:p>
    <w:p w14:paraId="5493468B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支持用户三级权限管理，支持密码管理</w:t>
      </w:r>
    </w:p>
    <w:p w14:paraId="3106258D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支持方法管理功能，内置方法，支持自定义测量方法</w:t>
      </w:r>
    </w:p>
    <w:p w14:paraId="53DB7102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248B2AF3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支持标定提醒和强制标定功能</w:t>
      </w:r>
    </w:p>
    <w:p w14:paraId="09FB8239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lastRenderedPageBreak/>
        <w:t>支持标液核查</w:t>
      </w:r>
      <w:proofErr w:type="gramEnd"/>
      <w:r>
        <w:rPr>
          <w:rFonts w:ascii="微软雅黑" w:hAnsi="微软雅黑" w:cs="微软雅黑" w:hint="eastAsia"/>
        </w:rPr>
        <w:t>和强制核查功能</w:t>
      </w:r>
    </w:p>
    <w:p w14:paraId="10BF854C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支持标定和测量报警限值设置</w:t>
      </w:r>
    </w:p>
    <w:p w14:paraId="1E697E1E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支持连接自动进样器 ，实现样品的自动测量和批量检测</w:t>
      </w:r>
    </w:p>
    <w:p w14:paraId="5017FFA4" w14:textId="77777777" w:rsidR="000420B3" w:rsidRDefault="000420B3" w:rsidP="000420B3">
      <w:pPr>
        <w:rPr>
          <w:rFonts w:ascii="微软雅黑" w:eastAsia="微软雅黑" w:hAnsi="微软雅黑" w:cs="微软雅黑" w:hint="eastAsia"/>
        </w:rPr>
      </w:pPr>
    </w:p>
    <w:p w14:paraId="43B72001" w14:textId="77777777" w:rsidR="000420B3" w:rsidRDefault="000420B3" w:rsidP="000420B3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数据管理，信息追溯</w:t>
      </w:r>
    </w:p>
    <w:p w14:paraId="63538FA4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符合GLP规范，支持数据存储、查阅、删除、统计、分析、传输和打印</w:t>
      </w:r>
    </w:p>
    <w:p w14:paraId="17BA7925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</w:t>
      </w:r>
      <w:r>
        <w:rPr>
          <w:rFonts w:ascii="Times New Roman" w:hAnsi="Times New Roman" w:cs="Times New Roman" w:hint="eastAsia"/>
        </w:rPr>
        <w:t>列表或</w:t>
      </w:r>
      <w:r>
        <w:rPr>
          <w:rFonts w:ascii="Times New Roman" w:hAnsi="Times New Roman" w:cs="Times New Roman"/>
        </w:rPr>
        <w:t>曲线方式显示</w:t>
      </w:r>
    </w:p>
    <w:p w14:paraId="67C64FDD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支持GMP管理，支持GMP操作日志查阅，实现数据的完整溯源和追踪</w:t>
      </w:r>
    </w:p>
    <w:p w14:paraId="3DF2BFCE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具有RS-232接口，支持连接标准RS-232串口打印机，直接打印测量结果，打印格式可选</w:t>
      </w:r>
    </w:p>
    <w:p w14:paraId="24B5189B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 USB 接口，通过专用通信软件与PC连接，实现数据传输；支持连接LIMS系统</w:t>
      </w:r>
    </w:p>
    <w:p w14:paraId="527DB2D2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支持U盘导出和导入测量方法</w:t>
      </w:r>
    </w:p>
    <w:p w14:paraId="3B420B30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支持U盘导出测量结果，支持CSV格式、PDF格式保存结果</w:t>
      </w:r>
    </w:p>
    <w:p w14:paraId="6FB415AA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支持连接扫描枪</w:t>
      </w:r>
    </w:p>
    <w:p w14:paraId="6AB003CE" w14:textId="77777777" w:rsidR="000420B3" w:rsidRDefault="000420B3" w:rsidP="000420B3">
      <w:pPr>
        <w:rPr>
          <w:rFonts w:ascii="微软雅黑" w:eastAsia="微软雅黑" w:hAnsi="微软雅黑" w:cs="微软雅黑" w:hint="eastAsia"/>
        </w:rPr>
      </w:pPr>
    </w:p>
    <w:p w14:paraId="7D8EE926" w14:textId="77777777" w:rsidR="000420B3" w:rsidRDefault="000420B3" w:rsidP="000420B3">
      <w:pPr>
        <w:pStyle w:val="LC1"/>
        <w:widowControl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电导测量功能</w:t>
      </w:r>
    </w:p>
    <w:p w14:paraId="6E93458C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支持测量电导率、电阻率、总固态溶解物(TDS)、盐度值和灰分值</w:t>
      </w:r>
    </w:p>
    <w:p w14:paraId="22DFF7AF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仪器在全量程范围内，具有自动温度补偿、自动量程切换等功能</w:t>
      </w:r>
    </w:p>
    <w:p w14:paraId="052DB6BD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支持(1~5)点标定</w:t>
      </w:r>
    </w:p>
    <w:p w14:paraId="45C8330C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</w:t>
      </w:r>
      <w:proofErr w:type="gramStart"/>
      <w:r>
        <w:rPr>
          <w:rFonts w:ascii="微软雅黑" w:hAnsi="微软雅黑" w:cs="微软雅黑" w:hint="eastAsia"/>
        </w:rPr>
        <w:t>导标液组管理</w:t>
      </w:r>
      <w:proofErr w:type="gramEnd"/>
      <w:r>
        <w:rPr>
          <w:rFonts w:ascii="微软雅黑" w:hAnsi="微软雅黑" w:cs="微软雅黑" w:hint="eastAsia"/>
        </w:rPr>
        <w:t>功能，自动识别GB标准和国际标准</w:t>
      </w:r>
    </w:p>
    <w:p w14:paraId="2C5B2AA7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支持多种电导率补偿方式，包括线性补偿、非线性补偿、纯水补偿和不补偿</w:t>
      </w:r>
    </w:p>
    <w:p w14:paraId="40801399" w14:textId="77777777" w:rsidR="000420B3" w:rsidRDefault="000420B3" w:rsidP="000420B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支持存贮电导率、电阻率、总固态溶解物(TDS)、盐度和</w:t>
      </w:r>
      <w:proofErr w:type="gramStart"/>
      <w:r>
        <w:rPr>
          <w:rFonts w:ascii="微软雅黑" w:hAnsi="微软雅黑" w:cs="微软雅黑" w:hint="eastAsia"/>
        </w:rPr>
        <w:t>灰分值</w:t>
      </w:r>
      <w:proofErr w:type="gramEnd"/>
      <w:r>
        <w:rPr>
          <w:rFonts w:ascii="微软雅黑" w:hAnsi="微软雅黑" w:cs="微软雅黑" w:hint="eastAsia"/>
        </w:rPr>
        <w:t>测量数据各1000套测量结果，支持存贮标定数据100套、</w:t>
      </w:r>
      <w:proofErr w:type="gramStart"/>
      <w:r>
        <w:rPr>
          <w:rFonts w:ascii="微软雅黑" w:hAnsi="微软雅黑" w:cs="微软雅黑" w:hint="eastAsia"/>
        </w:rPr>
        <w:t>标液核查</w:t>
      </w:r>
      <w:proofErr w:type="gramEnd"/>
      <w:r>
        <w:rPr>
          <w:rFonts w:ascii="微软雅黑" w:hAnsi="微软雅黑" w:cs="微软雅黑" w:hint="eastAsia"/>
        </w:rPr>
        <w:t>数据1000套</w:t>
      </w:r>
    </w:p>
    <w:p w14:paraId="0C7CA0A3" w14:textId="77777777" w:rsidR="000420B3" w:rsidRDefault="000420B3" w:rsidP="000420B3">
      <w:pPr>
        <w:rPr>
          <w:rFonts w:hint="eastAsia"/>
        </w:rPr>
      </w:pPr>
    </w:p>
    <w:p w14:paraId="242B4EB4" w14:textId="77777777" w:rsidR="000420B3" w:rsidRDefault="000420B3" w:rsidP="000420B3">
      <w:pPr>
        <w:rPr>
          <w:rFonts w:hint="eastAsia"/>
        </w:rPr>
      </w:pPr>
    </w:p>
    <w:p w14:paraId="2C771FCA" w14:textId="77777777" w:rsidR="000420B3" w:rsidRDefault="000420B3" w:rsidP="000420B3">
      <w:pPr>
        <w:rPr>
          <w:rFonts w:hint="eastAsia"/>
        </w:rPr>
      </w:pPr>
    </w:p>
    <w:p w14:paraId="710B5E66" w14:textId="77777777" w:rsidR="000420B3" w:rsidRDefault="000420B3" w:rsidP="000420B3">
      <w:pPr>
        <w:rPr>
          <w:rFonts w:hint="eastAsia"/>
        </w:rPr>
      </w:pPr>
    </w:p>
    <w:p w14:paraId="5C315CF9" w14:textId="77777777" w:rsidR="000420B3" w:rsidRDefault="000420B3" w:rsidP="000420B3">
      <w:pPr>
        <w:pStyle w:val="LC"/>
        <w:numPr>
          <w:ilvl w:val="0"/>
          <w:numId w:val="0"/>
        </w:numPr>
        <w:rPr>
          <w:rFonts w:ascii="微软雅黑" w:hAnsi="微软雅黑" w:cs="微软雅黑"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6"/>
        <w:gridCol w:w="1725"/>
        <w:gridCol w:w="2107"/>
        <w:gridCol w:w="3568"/>
      </w:tblGrid>
      <w:tr w:rsidR="000420B3" w14:paraId="56FFF074" w14:textId="77777777" w:rsidTr="002835AF">
        <w:trPr>
          <w:trHeight w:val="397"/>
          <w:tblHeader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14:paraId="6CC8A847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参数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943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技术指标</w:t>
            </w:r>
          </w:p>
        </w:tc>
      </w:tr>
      <w:tr w:rsidR="000420B3" w14:paraId="3B8E4351" w14:textId="77777777" w:rsidTr="002835AF">
        <w:trPr>
          <w:trHeight w:val="397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87B7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bookmarkStart w:id="1" w:name="OLE_LINK148" w:colFirst="0" w:colLast="1"/>
            <w:r>
              <w:rPr>
                <w:rFonts w:ascii="微软雅黑" w:hAnsi="微软雅黑" w:cs="微软雅黑" w:hint="eastAsia"/>
              </w:rPr>
              <w:t>型号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65316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DDSJ-319L型电导率仪</w:t>
            </w:r>
            <w:r>
              <w:rPr>
                <w:rFonts w:ascii="微软雅黑" w:hAnsi="微软雅黑" w:cs="微软雅黑" w:hint="eastAsia"/>
              </w:rPr>
              <w:t>(2023)</w:t>
            </w:r>
          </w:p>
        </w:tc>
      </w:tr>
      <w:bookmarkEnd w:id="1"/>
      <w:tr w:rsidR="000420B3" w14:paraId="33BFE3CE" w14:textId="77777777" w:rsidTr="002835AF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B9497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EC-T测量模块(二环电导测量模块)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98F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模块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E5A02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EC-T测量模块(二环电导测量模块)(</w:t>
            </w:r>
            <w:proofErr w:type="gramStart"/>
            <w:r>
              <w:rPr>
                <w:rFonts w:ascii="微软雅黑" w:hAnsi="微软雅黑" w:cs="微软雅黑" w:hint="eastAsia"/>
                <w:color w:val="000000"/>
              </w:rPr>
              <w:t>标配1个</w:t>
            </w:r>
            <w:proofErr w:type="gramEnd"/>
            <w:r>
              <w:rPr>
                <w:rFonts w:ascii="微软雅黑" w:hAnsi="微软雅黑" w:cs="微软雅黑" w:hint="eastAsia"/>
                <w:color w:val="000000"/>
              </w:rPr>
              <w:t>)</w:t>
            </w:r>
          </w:p>
        </w:tc>
      </w:tr>
      <w:tr w:rsidR="000420B3" w14:paraId="64F4A56D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330F2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9AF5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电导率级别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7BCD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0.5级</w:t>
            </w:r>
          </w:p>
        </w:tc>
      </w:tr>
      <w:tr w:rsidR="000420B3" w14:paraId="68C6D228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B234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57572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电导率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76CA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0457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0.000 μS/cm~3000mS/cm</w:t>
            </w:r>
          </w:p>
        </w:tc>
      </w:tr>
      <w:tr w:rsidR="000420B3" w14:paraId="3F93BCAB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92B37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B98E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67B9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F177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0.001μS/cm，根据量程自动切换</w:t>
            </w:r>
          </w:p>
        </w:tc>
      </w:tr>
      <w:tr w:rsidR="000420B3" w14:paraId="36696530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9CBC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C75F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5DC7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8B94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±0.5% (FS)</w:t>
            </w:r>
          </w:p>
        </w:tc>
      </w:tr>
      <w:tr w:rsidR="000420B3" w14:paraId="1B7D1B08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AE5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C198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电阻率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BDBF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21B46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5.00Ω·cm~100.0MΩ·cm</w:t>
            </w:r>
          </w:p>
        </w:tc>
      </w:tr>
      <w:tr w:rsidR="000420B3" w14:paraId="544DDAFE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82CA2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917E7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CE48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81EA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0.01Ω·cm，根据量程自动切换</w:t>
            </w:r>
          </w:p>
        </w:tc>
      </w:tr>
      <w:tr w:rsidR="000420B3" w14:paraId="51346F7E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D71DC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935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B223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D54A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±0.5% (FS)</w:t>
            </w:r>
          </w:p>
        </w:tc>
      </w:tr>
      <w:tr w:rsidR="000420B3" w14:paraId="49C0991C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607C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5DA7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TDS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B4B17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CAA5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0.000 mg/L~1000g/L</w:t>
            </w:r>
          </w:p>
        </w:tc>
      </w:tr>
      <w:tr w:rsidR="000420B3" w14:paraId="68142D2D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BEB38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F9C1D2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D5A4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FA9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0.001mg/L，根据量程自动切换</w:t>
            </w:r>
          </w:p>
        </w:tc>
      </w:tr>
      <w:tr w:rsidR="000420B3" w14:paraId="034FB17F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1616E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786F1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96A9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078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±0.5% (FS)</w:t>
            </w:r>
          </w:p>
        </w:tc>
      </w:tr>
      <w:tr w:rsidR="000420B3" w14:paraId="296958AF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8F462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423A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盐度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7A1A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1F03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(0.00~8.</w:t>
            </w:r>
            <w:proofErr w:type="gramStart"/>
            <w:r>
              <w:rPr>
                <w:rFonts w:ascii="微软雅黑" w:hAnsi="微软雅黑" w:cs="微软雅黑" w:hint="eastAsia"/>
                <w:color w:val="000000"/>
              </w:rPr>
              <w:t>00)%</w:t>
            </w:r>
            <w:proofErr w:type="gramEnd"/>
          </w:p>
        </w:tc>
      </w:tr>
      <w:tr w:rsidR="000420B3" w14:paraId="3C10BEA6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7BEED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847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12CC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EE76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0.01%</w:t>
            </w:r>
          </w:p>
        </w:tc>
      </w:tr>
      <w:tr w:rsidR="000420B3" w14:paraId="7F65864C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6ECAC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4AB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E7767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7611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±0.1%</w:t>
            </w:r>
          </w:p>
        </w:tc>
      </w:tr>
      <w:tr w:rsidR="000420B3" w14:paraId="57D0F424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E1FF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71C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温度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3469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82AD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(-10.0～135.0)℃/(14.0~275.0)℉</w:t>
            </w:r>
          </w:p>
        </w:tc>
      </w:tr>
      <w:tr w:rsidR="000420B3" w14:paraId="54070162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2E82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59F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2ABB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3063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℃/0.1℉</w:t>
            </w:r>
          </w:p>
        </w:tc>
      </w:tr>
      <w:tr w:rsidR="000420B3" w14:paraId="7D2B5270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E80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AC0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C984D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B9837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 ℃</w:t>
            </w:r>
          </w:p>
        </w:tc>
      </w:tr>
      <w:tr w:rsidR="000420B3" w14:paraId="0C8900A6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06987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BD0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9B1AC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仪器的示值误差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1E9F4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±0.3℃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0.0℃-60.0℃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；±1.0 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其他范围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</w:tr>
      <w:tr w:rsidR="000420B3" w14:paraId="15F0BBEE" w14:textId="77777777" w:rsidTr="002835AF">
        <w:trPr>
          <w:trHeight w:val="397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A8CF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EC-F测量模块(四环电导测量模块)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E9D1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模块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D98EF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EC-F测量模块(四环电导测量模块)(标配模块)(可选配)</w:t>
            </w:r>
          </w:p>
        </w:tc>
      </w:tr>
      <w:tr w:rsidR="000420B3" w14:paraId="2C9CCFB8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6484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2CE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电导率级别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68018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1.5级</w:t>
            </w:r>
          </w:p>
        </w:tc>
      </w:tr>
      <w:tr w:rsidR="000420B3" w14:paraId="173C000D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985C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3AF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电导率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D021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6ABD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50.0 μS/cm~3000mS/cm</w:t>
            </w:r>
          </w:p>
        </w:tc>
      </w:tr>
      <w:tr w:rsidR="000420B3" w14:paraId="2BF6C857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AA02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EEA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A30D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D20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0.001μS/cm，根据量程自动切换</w:t>
            </w:r>
          </w:p>
        </w:tc>
      </w:tr>
      <w:tr w:rsidR="000420B3" w14:paraId="2A84BDFF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06B0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BE16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A18B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35D0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±1.5% (FS)</w:t>
            </w:r>
          </w:p>
        </w:tc>
      </w:tr>
      <w:tr w:rsidR="000420B3" w14:paraId="6AA3E37B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99B0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E4EF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电阻率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98C2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3071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5.00Ω·cm~20.0kΩ·cm</w:t>
            </w:r>
          </w:p>
        </w:tc>
      </w:tr>
      <w:tr w:rsidR="000420B3" w14:paraId="4091C2F3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AD5A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2433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8E0D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6150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0.01Ω·cm，根据量程自动切换</w:t>
            </w:r>
          </w:p>
        </w:tc>
      </w:tr>
      <w:tr w:rsidR="000420B3" w14:paraId="3FB0095A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0C576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09E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C81B7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9160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±1.5% (FS)</w:t>
            </w:r>
          </w:p>
        </w:tc>
      </w:tr>
      <w:tr w:rsidR="000420B3" w14:paraId="287B3FFE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9B9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885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TDS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B3A5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99D7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25.0 mg/L~1000g/L</w:t>
            </w:r>
          </w:p>
        </w:tc>
      </w:tr>
      <w:tr w:rsidR="000420B3" w14:paraId="28FFAE07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2B19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B2A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733C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9EAC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0.001mg/L，根据量程自动切换</w:t>
            </w:r>
          </w:p>
        </w:tc>
      </w:tr>
      <w:tr w:rsidR="000420B3" w14:paraId="18E73E29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41A0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8914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A5D4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9831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±1.5% (FS)</w:t>
            </w:r>
          </w:p>
        </w:tc>
      </w:tr>
      <w:tr w:rsidR="000420B3" w14:paraId="5B28B4C0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869D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0066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盐度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911CF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D1A5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(0.00~8.</w:t>
            </w:r>
            <w:proofErr w:type="gramStart"/>
            <w:r>
              <w:rPr>
                <w:rFonts w:ascii="微软雅黑" w:hAnsi="微软雅黑" w:cs="微软雅黑" w:hint="eastAsia"/>
                <w:color w:val="000000"/>
              </w:rPr>
              <w:t>00)%</w:t>
            </w:r>
            <w:proofErr w:type="gramEnd"/>
          </w:p>
        </w:tc>
      </w:tr>
      <w:tr w:rsidR="000420B3" w14:paraId="28AC0FE8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B23A9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D22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2E2A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D5C5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0.01%</w:t>
            </w:r>
          </w:p>
        </w:tc>
      </w:tr>
      <w:tr w:rsidR="000420B3" w14:paraId="1C3E02C6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B07C0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541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82CF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电子单元引用误差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17FB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±0.2%</w:t>
            </w:r>
          </w:p>
        </w:tc>
      </w:tr>
      <w:tr w:rsidR="000420B3" w14:paraId="3561EE4F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D379B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E856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  <w:t>温度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FF977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  <w:t>范围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23C5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(-10.0～135.0)℃/(14.0~275.0)℉</w:t>
            </w:r>
          </w:p>
        </w:tc>
      </w:tr>
      <w:tr w:rsidR="000420B3" w14:paraId="0B860ECA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02DBC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4163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466BA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  <w:t>最小分辨率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5DFC4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℃/0.1℉</w:t>
            </w:r>
          </w:p>
        </w:tc>
      </w:tr>
      <w:tr w:rsidR="000420B3" w14:paraId="65EDC3B2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211C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FA8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8C559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  <w:t>电子单元示值误差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79DCD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±0.2 ℃</w:t>
            </w:r>
          </w:p>
        </w:tc>
      </w:tr>
      <w:tr w:rsidR="000420B3" w14:paraId="71E0DF28" w14:textId="77777777" w:rsidTr="002835AF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79782D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417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17564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  <w:t>仪器的示值误差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11F0B" w14:textId="77777777" w:rsidR="000420B3" w:rsidRDefault="000420B3" w:rsidP="002835AF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  <w:t>±0.5℃(0.0℃-60.0℃)；±1.5 ℃(其他范围)</w:t>
            </w:r>
          </w:p>
        </w:tc>
      </w:tr>
      <w:tr w:rsidR="000420B3" w14:paraId="180834FC" w14:textId="77777777" w:rsidTr="002835A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5ADDEC9A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0ECABF8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使用环境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1F03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环境温度：(0～40) ℃相对湿度：≤85%</w:t>
            </w:r>
          </w:p>
        </w:tc>
      </w:tr>
      <w:tr w:rsidR="000420B3" w14:paraId="167F99AB" w14:textId="77777777" w:rsidTr="002835A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56F5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C3CE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电源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08AF4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电源适配器(输入AC：100V~240V，输出：DC20V)</w:t>
            </w:r>
          </w:p>
        </w:tc>
      </w:tr>
      <w:tr w:rsidR="000420B3" w14:paraId="336F8D0F" w14:textId="77777777" w:rsidTr="002835A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0598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E7535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lang w:bidi="ar"/>
              </w:rPr>
              <w:t>尺寸(mm)，重量(kg)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35B1" w14:textId="77777777" w:rsidR="000420B3" w:rsidRDefault="000420B3" w:rsidP="002835AF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</w:rPr>
              <w:t>240mm×310mm×98mm，约2.0kg</w:t>
            </w:r>
          </w:p>
        </w:tc>
      </w:tr>
    </w:tbl>
    <w:p w14:paraId="59835668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81444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B3"/>
    <w:rsid w:val="000420B3"/>
    <w:rsid w:val="007449D0"/>
    <w:rsid w:val="008A34A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0D25"/>
  <w15:chartTrackingRefBased/>
  <w15:docId w15:val="{342BCEB7-D5CB-497F-A956-2C0DDEC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0420B3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04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042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B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20B3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0420B3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0420B3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0420B3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0420B3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0420B3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0420B3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0420B3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0420B3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0420B3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0420B3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2024-08-19T02:33:00Z</dcterms:created>
  <dcterms:modified xsi:type="dcterms:W3CDTF">2024-08-19T02:33:00Z</dcterms:modified>
</cp:coreProperties>
</file>