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21C0" w14:textId="77777777" w:rsidR="00E21124" w:rsidRDefault="00E21124" w:rsidP="00E21124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8738"/>
      <w:bookmarkStart w:id="1" w:name="_Toc9112"/>
      <w:bookmarkStart w:id="2" w:name="_Toc22462"/>
      <w:bookmarkStart w:id="3" w:name="_Toc31235"/>
      <w:bookmarkStart w:id="4" w:name="_Toc26026"/>
      <w:bookmarkStart w:id="5" w:name="_Toc7570"/>
      <w:bookmarkStart w:id="6" w:name="_Toc22826"/>
      <w:bookmarkStart w:id="7" w:name="_Toc29277"/>
      <w:bookmarkStart w:id="8" w:name="_Toc11779"/>
      <w:bookmarkStart w:id="9" w:name="_Toc31559"/>
      <w:r>
        <w:rPr>
          <w:rFonts w:ascii="微软雅黑" w:eastAsia="微软雅黑" w:hAnsi="微软雅黑" w:cs="微软雅黑" w:hint="eastAsia"/>
          <w:color w:val="000000" w:themeColor="text1"/>
        </w:rPr>
        <w:t>PHS-3C型pH计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7AA67B" w14:textId="77777777" w:rsidR="00E21124" w:rsidRDefault="00E21124" w:rsidP="00E21124">
      <w:pPr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000000" w:themeColor="text1"/>
          <w:sz w:val="30"/>
          <w:szCs w:val="30"/>
        </w:rPr>
        <w:drawing>
          <wp:inline distT="0" distB="0" distL="114300" distR="114300" wp14:anchorId="1783246F" wp14:editId="1D197F88">
            <wp:extent cx="2286000" cy="2000250"/>
            <wp:effectExtent l="0" t="0" r="0" b="0"/>
            <wp:docPr id="181" name="图片 181" descr="PHS-3C型pH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PHS-3C型pH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8D75" w14:textId="77777777" w:rsidR="00E21124" w:rsidRDefault="00E21124" w:rsidP="00E21124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1DAC9401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6.0英寸高清液晶显示，按键操作</w:t>
      </w:r>
    </w:p>
    <w:p w14:paraId="00B69D52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支持自动关机、断电保护和恢复出厂设置等功能</w:t>
      </w:r>
    </w:p>
    <w:p w14:paraId="78BDF3AE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2A3A5073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标配复合</w:t>
      </w:r>
      <w:proofErr w:type="gramEnd"/>
      <w:r>
        <w:rPr>
          <w:rFonts w:ascii="微软雅黑" w:hAnsi="微软雅黑" w:cs="微软雅黑" w:hint="eastAsia"/>
        </w:rPr>
        <w:t>pH电极、电极支架、防尘罩和校准缓冲粉剂</w:t>
      </w:r>
    </w:p>
    <w:p w14:paraId="1A2D22EC" w14:textId="77777777" w:rsidR="00E21124" w:rsidRDefault="00E21124" w:rsidP="00E21124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智能检测、自动识别</w:t>
      </w:r>
    </w:p>
    <w:p w14:paraId="50A174BA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智能判别终点，支持平衡测量模式和连续测量模式</w:t>
      </w:r>
    </w:p>
    <w:p w14:paraId="5D07D7DD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支持手动温度补偿</w:t>
      </w:r>
    </w:p>
    <w:p w14:paraId="10F12064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支持(1~3)点pH电极标定</w:t>
      </w:r>
    </w:p>
    <w:p w14:paraId="0D744D69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 4.00pH、6.86pH、9.18pH三种pH标准缓冲溶液，支持自定义pH缓冲溶液</w:t>
      </w:r>
    </w:p>
    <w:p w14:paraId="41CA67A5" w14:textId="77777777" w:rsidR="00E21124" w:rsidRDefault="00E21124" w:rsidP="00E21124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数据管理</w:t>
      </w:r>
    </w:p>
    <w:p w14:paraId="0CF70F1E" w14:textId="77777777" w:rsidR="00E21124" w:rsidRDefault="00E21124" w:rsidP="00E21124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支持数据存储(50套)、查阅、删除</w:t>
      </w:r>
    </w:p>
    <w:p w14:paraId="7D0BB422" w14:textId="77777777" w:rsidR="00E21124" w:rsidRDefault="00E21124" w:rsidP="00E21124">
      <w:pPr>
        <w:widowControl/>
        <w:spacing w:line="276" w:lineRule="auto"/>
        <w:ind w:left="840"/>
        <w:jc w:val="left"/>
        <w:rPr>
          <w:rFonts w:ascii="微软雅黑" w:eastAsia="微软雅黑" w:hAnsi="微软雅黑" w:cs="微软雅黑" w:hint="eastAsia"/>
          <w:color w:val="000000"/>
          <w:kern w:val="0"/>
        </w:rPr>
      </w:pPr>
    </w:p>
    <w:p w14:paraId="450A6C12" w14:textId="77777777" w:rsidR="00E21124" w:rsidRDefault="00E21124" w:rsidP="00E21124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2052"/>
        <w:gridCol w:w="4933"/>
      </w:tblGrid>
      <w:tr w:rsidR="00E21124" w14:paraId="2FD45BA7" w14:textId="77777777" w:rsidTr="00B60AAE">
        <w:trPr>
          <w:trHeight w:val="23"/>
        </w:trPr>
        <w:tc>
          <w:tcPr>
            <w:tcW w:w="2027" w:type="pct"/>
            <w:gridSpan w:val="2"/>
            <w:tcBorders>
              <w:tl2br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0C1C9" w14:textId="77777777" w:rsidR="00E21124" w:rsidRDefault="00E21124" w:rsidP="00B60AAE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  <w:p w14:paraId="38770E4B" w14:textId="77777777" w:rsidR="00E21124" w:rsidRDefault="00E21124" w:rsidP="00B60AAE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技术参数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A6C17A8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PHS-3C</w:t>
            </w:r>
          </w:p>
        </w:tc>
      </w:tr>
      <w:tr w:rsidR="00E21124" w14:paraId="3ED85C21" w14:textId="77777777" w:rsidTr="00B60AAE">
        <w:trPr>
          <w:trHeight w:val="23"/>
        </w:trPr>
        <w:tc>
          <w:tcPr>
            <w:tcW w:w="202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0CCE46C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F63B30A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0.01级</w:t>
            </w:r>
          </w:p>
        </w:tc>
      </w:tr>
      <w:tr w:rsidR="00E21124" w14:paraId="1996E41B" w14:textId="77777777" w:rsidTr="00B60AAE">
        <w:trPr>
          <w:trHeight w:val="23"/>
        </w:trPr>
        <w:tc>
          <w:tcPr>
            <w:tcW w:w="79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D532699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FC6F6F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44BC379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(-1999～1999)mV</w:t>
            </w:r>
          </w:p>
        </w:tc>
      </w:tr>
      <w:tr w:rsidR="00E21124" w14:paraId="148171E4" w14:textId="77777777" w:rsidTr="00B60AAE">
        <w:trPr>
          <w:trHeight w:val="23"/>
        </w:trPr>
        <w:tc>
          <w:tcPr>
            <w:tcW w:w="790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CB9B00E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A3F789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F5BEC34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1 mV</w:t>
            </w:r>
          </w:p>
        </w:tc>
      </w:tr>
      <w:tr w:rsidR="00E21124" w14:paraId="56A02BF1" w14:textId="77777777" w:rsidTr="00B60AAE">
        <w:trPr>
          <w:trHeight w:val="23"/>
        </w:trPr>
        <w:tc>
          <w:tcPr>
            <w:tcW w:w="790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4FAF9FD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B5547A8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1AAF5B0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±0.1%FS</w:t>
            </w:r>
          </w:p>
        </w:tc>
      </w:tr>
      <w:tr w:rsidR="00E21124" w14:paraId="14C3C91B" w14:textId="77777777" w:rsidTr="00B60AAE">
        <w:trPr>
          <w:trHeight w:val="23"/>
        </w:trPr>
        <w:tc>
          <w:tcPr>
            <w:tcW w:w="79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9C28F92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0AB7C5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38D156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(-2.00～18.00)pH</w:t>
            </w:r>
          </w:p>
        </w:tc>
      </w:tr>
      <w:tr w:rsidR="00E21124" w14:paraId="4E0937CF" w14:textId="77777777" w:rsidTr="00B60AAE">
        <w:trPr>
          <w:trHeight w:val="23"/>
        </w:trPr>
        <w:tc>
          <w:tcPr>
            <w:tcW w:w="790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606C3D6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C93B6F8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DF13DA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0.01pH</w:t>
            </w:r>
          </w:p>
        </w:tc>
      </w:tr>
      <w:tr w:rsidR="00E21124" w14:paraId="7232C0DA" w14:textId="77777777" w:rsidTr="00B60AAE">
        <w:trPr>
          <w:trHeight w:val="23"/>
        </w:trPr>
        <w:tc>
          <w:tcPr>
            <w:tcW w:w="790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2AEE115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2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9FDB727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680273" w14:textId="77777777" w:rsidR="00E21124" w:rsidRDefault="00E21124" w:rsidP="00B60AAE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±0.01pH</w:t>
            </w:r>
          </w:p>
        </w:tc>
      </w:tr>
      <w:tr w:rsidR="00E21124" w14:paraId="40E1E19D" w14:textId="77777777" w:rsidTr="00B60AAE">
        <w:trPr>
          <w:trHeight w:val="23"/>
        </w:trPr>
        <w:tc>
          <w:tcPr>
            <w:tcW w:w="202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01D6B8D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电源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B3B98B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szCs w:val="20"/>
              </w:rPr>
              <w:t>电源适配器(输入：AC(100~240)V ，输出：DC20V/1500mA)</w:t>
            </w:r>
          </w:p>
        </w:tc>
      </w:tr>
      <w:tr w:rsidR="00E21124" w14:paraId="3038A79E" w14:textId="77777777" w:rsidTr="00B60AAE">
        <w:trPr>
          <w:trHeight w:val="23"/>
        </w:trPr>
        <w:tc>
          <w:tcPr>
            <w:tcW w:w="202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4990EE4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尺寸(mm)，重量(kg)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DD05E9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242×195×68，0.9</w:t>
            </w:r>
          </w:p>
        </w:tc>
      </w:tr>
      <w:tr w:rsidR="00E21124" w14:paraId="0DAF41FC" w14:textId="77777777" w:rsidTr="00B60AAE">
        <w:trPr>
          <w:trHeight w:val="23"/>
        </w:trPr>
        <w:tc>
          <w:tcPr>
            <w:tcW w:w="202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8832880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29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AB570A5" w14:textId="77777777" w:rsidR="00E21124" w:rsidRDefault="00E21124" w:rsidP="00B60AAE">
            <w:pPr>
              <w:pStyle w:val="LC0"/>
              <w:rPr>
                <w:rFonts w:ascii="微软雅黑" w:hAnsi="微软雅黑" w:cs="微软雅黑" w:hint="eastAsia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350×280×220，2.0</w:t>
            </w:r>
          </w:p>
        </w:tc>
      </w:tr>
    </w:tbl>
    <w:p w14:paraId="365D66FE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02902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4"/>
    <w:rsid w:val="003579A6"/>
    <w:rsid w:val="008A34A6"/>
    <w:rsid w:val="00E21124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1043"/>
  <w15:chartTrackingRefBased/>
  <w15:docId w15:val="{CC92A9FE-E3DA-4A44-B74B-7BE782B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E21124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E2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E21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1124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E21124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E21124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E21124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E21124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E21124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E21124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E21124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E21124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E21124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E21124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2024-10-15T07:22:00Z</dcterms:created>
  <dcterms:modified xsi:type="dcterms:W3CDTF">2024-10-15T07:23:00Z</dcterms:modified>
</cp:coreProperties>
</file>