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E33D4" w14:textId="77777777" w:rsidR="00FB507E" w:rsidRDefault="00FB507E" w:rsidP="00FB507E">
      <w:pPr>
        <w:pStyle w:val="2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>DGS-450型多参数水质分析仪</w:t>
      </w:r>
      <w:r>
        <w:rPr>
          <w:rFonts w:ascii="微软雅黑" w:eastAsia="微软雅黑" w:hAnsi="微软雅黑" w:cs="微软雅黑" w:hint="eastAsia"/>
          <w:color w:val="000000" w:themeColor="text1"/>
        </w:rPr>
        <w:t>(2023)</w:t>
      </w:r>
    </w:p>
    <w:p w14:paraId="6E772BB2" w14:textId="77777777" w:rsidR="00FB507E" w:rsidRDefault="00FB507E" w:rsidP="00FB507E">
      <w:pPr>
        <w:jc w:val="center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7769D941" wp14:editId="65B4DA58">
            <wp:extent cx="3590925" cy="2179955"/>
            <wp:effectExtent l="0" t="0" r="5715" b="14605"/>
            <wp:docPr id="119" name="图片 1" descr="桌子上放了游戏机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" descr="桌子上放了游戏机&#10;&#10;低可信度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44A24" w14:textId="77777777" w:rsidR="00FB507E" w:rsidRDefault="00FB507E" w:rsidP="00FB507E">
      <w:pPr>
        <w:pStyle w:val="LC1"/>
        <w:ind w:firstLineChars="99" w:firstLine="208"/>
        <w:jc w:val="left"/>
        <w:rPr>
          <w:rFonts w:ascii="微软雅黑" w:hAnsi="微软雅黑" w:cs="微软雅黑" w:hint="eastAsia"/>
          <w:color w:val="000000" w:themeColor="text1"/>
          <w:u w:val="single"/>
        </w:rPr>
      </w:pPr>
      <w:r>
        <w:rPr>
          <w:rFonts w:ascii="微软雅黑" w:hAnsi="微软雅黑" w:cs="微软雅黑" w:hint="eastAsia"/>
        </w:rPr>
        <w:t>主要特点</w:t>
      </w:r>
    </w:p>
    <w:p w14:paraId="272D384C" w14:textId="77777777" w:rsidR="00FB507E" w:rsidRDefault="00FB507E" w:rsidP="00FB507E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采用高清液晶屏，显示清晰</w:t>
      </w:r>
    </w:p>
    <w:p w14:paraId="0CD580C6" w14:textId="77777777" w:rsidR="00FB507E" w:rsidRDefault="00FB507E" w:rsidP="00FB507E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采用420nm、470nm、620nm、700nm四个LED光源，寿命长，精度高</w:t>
      </w:r>
    </w:p>
    <w:p w14:paraId="75B9D224" w14:textId="77777777" w:rsidR="00FB507E" w:rsidRDefault="00FB507E" w:rsidP="00FB507E">
      <w:pPr>
        <w:pStyle w:val="LC"/>
        <w:rPr>
          <w:rFonts w:ascii="微软雅黑" w:hAnsi="微软雅黑" w:cs="微软雅黑" w:hint="eastAsia"/>
        </w:rPr>
      </w:pPr>
      <w:bookmarkStart w:id="0" w:name="OLE_LINK179"/>
      <w:r>
        <w:rPr>
          <w:rFonts w:ascii="微软雅黑" w:hAnsi="微软雅黑" w:cs="微软雅黑" w:hint="eastAsia"/>
        </w:rPr>
        <w:t>内置测量方法</w:t>
      </w:r>
      <w:bookmarkEnd w:id="0"/>
      <w:r>
        <w:rPr>
          <w:rFonts w:ascii="微软雅黑" w:hAnsi="微软雅黑" w:cs="微软雅黑" w:hint="eastAsia"/>
        </w:rPr>
        <w:t>：氨氮、高浓度COD、低浓度COD、总磷、总氮</w:t>
      </w:r>
    </w:p>
    <w:p w14:paraId="74BFA157" w14:textId="77777777" w:rsidR="00FB507E" w:rsidRDefault="00FB507E" w:rsidP="00FB507E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支持420nm、470nm、620nm、700nm吸光度测量</w:t>
      </w:r>
    </w:p>
    <w:p w14:paraId="769D86F4" w14:textId="77777777" w:rsidR="00FB507E" w:rsidRDefault="00FB507E" w:rsidP="00FB507E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支持420nm、470nm、620nm、700nm透射比测量</w:t>
      </w:r>
    </w:p>
    <w:p w14:paraId="144F44B1" w14:textId="77777777" w:rsidR="00FB507E" w:rsidRDefault="00FB507E" w:rsidP="00FB507E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智能判别终点，支持自动读数</w:t>
      </w:r>
    </w:p>
    <w:p w14:paraId="400AEC21" w14:textId="77777777" w:rsidR="00FB507E" w:rsidRDefault="00FB507E" w:rsidP="00FB507E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设定稀释比，自动计算样品原始浓度</w:t>
      </w:r>
    </w:p>
    <w:p w14:paraId="7E117FCE" w14:textId="77777777" w:rsidR="00FB507E" w:rsidRDefault="00FB507E" w:rsidP="00FB507E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可选内置校准曲线或自定义校准曲线(2~5)点</w:t>
      </w:r>
    </w:p>
    <w:p w14:paraId="00610F88" w14:textId="77777777" w:rsidR="00FB507E" w:rsidRDefault="00FB507E" w:rsidP="00FB507E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支持某个标定点重新标定</w:t>
      </w:r>
    </w:p>
    <w:p w14:paraId="269D741A" w14:textId="77777777" w:rsidR="00FB507E" w:rsidRDefault="00FB507E" w:rsidP="00FB507E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支持数据存储(各500组)、查阅、删除、传输和打印</w:t>
      </w:r>
    </w:p>
    <w:p w14:paraId="017BDCEC" w14:textId="77777777" w:rsidR="00FB507E" w:rsidRDefault="00FB507E" w:rsidP="00FB507E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符合GLP，实现数据追溯</w:t>
      </w:r>
    </w:p>
    <w:p w14:paraId="07D6F293" w14:textId="77777777" w:rsidR="00FB507E" w:rsidRDefault="00FB507E" w:rsidP="00FB507E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内置</w:t>
      </w:r>
      <w:r>
        <w:rPr>
          <w:rFonts w:ascii="微软雅黑" w:hAnsi="微软雅黑" w:cs="微软雅黑" w:hint="eastAsia"/>
          <w:color w:val="000000" w:themeColor="text1"/>
          <w:szCs w:val="21"/>
        </w:rPr>
        <w:t>热敏</w:t>
      </w:r>
      <w:r>
        <w:rPr>
          <w:rFonts w:ascii="微软雅黑" w:hAnsi="微软雅黑" w:cs="微软雅黑" w:hint="eastAsia"/>
        </w:rPr>
        <w:t>打印机，可自动打印，打印格式可选</w:t>
      </w:r>
    </w:p>
    <w:p w14:paraId="5C24A4A7" w14:textId="77777777" w:rsidR="00FB507E" w:rsidRDefault="00FB507E" w:rsidP="00FB507E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支持U</w:t>
      </w:r>
      <w:proofErr w:type="gramStart"/>
      <w:r>
        <w:rPr>
          <w:rFonts w:ascii="微软雅黑" w:hAnsi="微软雅黑" w:cs="微软雅黑" w:hint="eastAsia"/>
        </w:rPr>
        <w:t>盘数据</w:t>
      </w:r>
      <w:proofErr w:type="gramEnd"/>
      <w:r>
        <w:rPr>
          <w:rFonts w:ascii="微软雅黑" w:hAnsi="微软雅黑" w:cs="微软雅黑" w:hint="eastAsia"/>
        </w:rPr>
        <w:t>导出</w:t>
      </w:r>
    </w:p>
    <w:p w14:paraId="04CD894E" w14:textId="77777777" w:rsidR="00FB507E" w:rsidRDefault="00FB507E" w:rsidP="00FB507E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具有RS-232、USB接口，通过专用通信软件与PC连接，实现数据传输</w:t>
      </w:r>
    </w:p>
    <w:p w14:paraId="5C191D0C" w14:textId="77777777" w:rsidR="00FB507E" w:rsidRDefault="00FB507E" w:rsidP="00FB507E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支持断电保护和恢复出厂设置等功能</w:t>
      </w:r>
    </w:p>
    <w:p w14:paraId="4A7C398A" w14:textId="77777777" w:rsidR="00FB507E" w:rsidRDefault="00FB507E" w:rsidP="00FB507E">
      <w:pPr>
        <w:pStyle w:val="LC1"/>
        <w:rPr>
          <w:rFonts w:ascii="微软雅黑" w:hAnsi="微软雅黑" w:cs="微软雅黑" w:hint="eastAsia"/>
        </w:rPr>
      </w:pPr>
    </w:p>
    <w:p w14:paraId="1AB8375B" w14:textId="77777777" w:rsidR="00FB507E" w:rsidRDefault="00FB507E" w:rsidP="00FB507E">
      <w:pPr>
        <w:pStyle w:val="LC1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技术参数</w:t>
      </w:r>
    </w:p>
    <w:tbl>
      <w:tblPr>
        <w:tblW w:w="9099" w:type="dxa"/>
        <w:tblInd w:w="96" w:type="dxa"/>
        <w:tblLook w:val="04A0" w:firstRow="1" w:lastRow="0" w:firstColumn="1" w:lastColumn="0" w:noHBand="0" w:noVBand="1"/>
      </w:tblPr>
      <w:tblGrid>
        <w:gridCol w:w="1556"/>
        <w:gridCol w:w="2433"/>
        <w:gridCol w:w="5110"/>
      </w:tblGrid>
      <w:tr w:rsidR="00FB507E" w14:paraId="41487542" w14:textId="77777777" w:rsidTr="00E43731">
        <w:trPr>
          <w:trHeight w:val="146"/>
        </w:trPr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057D5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bookmarkStart w:id="1" w:name="OLE_LINK176"/>
            <w:r>
              <w:rPr>
                <w:rFonts w:ascii="微软雅黑" w:hAnsi="微软雅黑" w:cs="微软雅黑" w:hint="eastAsia"/>
              </w:rPr>
              <w:t>型号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63B94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DGS-450</w:t>
            </w:r>
          </w:p>
        </w:tc>
      </w:tr>
      <w:tr w:rsidR="00FB507E" w14:paraId="03A400FB" w14:textId="77777777" w:rsidTr="00E43731">
        <w:trPr>
          <w:trHeight w:val="146"/>
        </w:trPr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72C50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检测项目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BA98A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氨氮，低浓度COD， 高浓度COD， 总磷 ，总氮</w:t>
            </w:r>
          </w:p>
        </w:tc>
      </w:tr>
      <w:tr w:rsidR="00FB507E" w14:paraId="6AE19481" w14:textId="77777777" w:rsidTr="00E43731">
        <w:trPr>
          <w:trHeight w:val="1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65B99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氨氮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E22F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测量方法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60A9A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纳氏试剂法</w:t>
            </w:r>
          </w:p>
        </w:tc>
      </w:tr>
      <w:tr w:rsidR="00FB507E" w14:paraId="68D2DACD" w14:textId="77777777" w:rsidTr="00E43731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AFB8B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0E5E1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测量范围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FAF3E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(0.000~10.00)mg/L，可拓展至100.0mg/L</w:t>
            </w:r>
          </w:p>
        </w:tc>
      </w:tr>
      <w:tr w:rsidR="00FB507E" w14:paraId="0D7619E7" w14:textId="77777777" w:rsidTr="00E43731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0DF48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2D42E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误差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A87A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±5％</w:t>
            </w:r>
          </w:p>
        </w:tc>
      </w:tr>
      <w:tr w:rsidR="00FB507E" w14:paraId="3C0CAA2D" w14:textId="77777777" w:rsidTr="00E43731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C74A2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329CA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重复性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71A66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≤2%</w:t>
            </w:r>
          </w:p>
        </w:tc>
      </w:tr>
      <w:tr w:rsidR="00FB507E" w14:paraId="1810ED74" w14:textId="77777777" w:rsidTr="00E43731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94222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bookmarkStart w:id="2" w:name="OLE_LINK171" w:colFirst="1" w:colLast="2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AFEA0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稳定性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705A8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&lt;0.200mg/L(20min)</w:t>
            </w:r>
          </w:p>
        </w:tc>
      </w:tr>
      <w:tr w:rsidR="00FB507E" w14:paraId="588DDF3B" w14:textId="77777777" w:rsidTr="00E43731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23283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8AE59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检出限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54F3D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≤0.03mg/L</w:t>
            </w:r>
          </w:p>
        </w:tc>
      </w:tr>
      <w:bookmarkEnd w:id="2"/>
      <w:tr w:rsidR="00FB507E" w14:paraId="07DFE25F" w14:textId="77777777" w:rsidTr="00E43731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9AEE0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6BC6A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波长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6FDB6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420nm</w:t>
            </w:r>
          </w:p>
        </w:tc>
      </w:tr>
      <w:tr w:rsidR="00FB507E" w14:paraId="6D64EEAF" w14:textId="77777777" w:rsidTr="00E43731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C1348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C708D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需消解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677F6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/</w:t>
            </w:r>
          </w:p>
        </w:tc>
      </w:tr>
      <w:tr w:rsidR="00FB507E" w14:paraId="1D103E85" w14:textId="77777777" w:rsidTr="00E43731">
        <w:trPr>
          <w:trHeight w:val="1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59301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低浓度COD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568B3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测量方法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E84FA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重铬酸钾法</w:t>
            </w:r>
          </w:p>
        </w:tc>
      </w:tr>
      <w:tr w:rsidR="00FB507E" w14:paraId="08575F6B" w14:textId="77777777" w:rsidTr="00E43731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B23AD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4F88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测量范围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BEA47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(0.000~150.</w:t>
            </w:r>
            <w:proofErr w:type="gramStart"/>
            <w:r>
              <w:rPr>
                <w:rFonts w:ascii="微软雅黑" w:hAnsi="微软雅黑" w:cs="微软雅黑" w:hint="eastAsia"/>
              </w:rPr>
              <w:t>0)mg</w:t>
            </w:r>
            <w:proofErr w:type="gramEnd"/>
            <w:r>
              <w:rPr>
                <w:rFonts w:ascii="微软雅黑" w:hAnsi="微软雅黑" w:cs="微软雅黑" w:hint="eastAsia"/>
              </w:rPr>
              <w:t>/L</w:t>
            </w:r>
          </w:p>
        </w:tc>
      </w:tr>
      <w:tr w:rsidR="00FB507E" w14:paraId="7733EF49" w14:textId="77777777" w:rsidTr="00E43731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43323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A8016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误差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09294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±8％</w:t>
            </w:r>
          </w:p>
        </w:tc>
      </w:tr>
      <w:tr w:rsidR="00FB507E" w14:paraId="120ABC3E" w14:textId="77777777" w:rsidTr="00E43731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FB437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15CA6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重复性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2EC3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≤3%</w:t>
            </w:r>
          </w:p>
        </w:tc>
      </w:tr>
      <w:tr w:rsidR="00FB507E" w14:paraId="22547F80" w14:textId="77777777" w:rsidTr="00E43731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4625A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E9A5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稳定性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91558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&lt;6mg/L(20min)</w:t>
            </w:r>
          </w:p>
        </w:tc>
      </w:tr>
      <w:tr w:rsidR="00FB507E" w14:paraId="6A66C76A" w14:textId="77777777" w:rsidTr="00E43731">
        <w:trPr>
          <w:trHeight w:val="1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C23A0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F6799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波长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63472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420nm</w:t>
            </w:r>
          </w:p>
        </w:tc>
      </w:tr>
      <w:tr w:rsidR="00FB507E" w14:paraId="66A10176" w14:textId="77777777" w:rsidTr="00E43731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D0AB9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10D30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是否消解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3A3D5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需消解</w:t>
            </w:r>
          </w:p>
        </w:tc>
      </w:tr>
      <w:tr w:rsidR="00FB507E" w14:paraId="6237A43F" w14:textId="77777777" w:rsidTr="00E43731">
        <w:trPr>
          <w:trHeight w:val="1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1F8F6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高浓度COD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E131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测量方法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3D6E4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重铬酸钾法</w:t>
            </w:r>
          </w:p>
        </w:tc>
      </w:tr>
      <w:tr w:rsidR="00FB507E" w14:paraId="6EF7797D" w14:textId="77777777" w:rsidTr="00E43731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4E04E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DB487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测量范围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6E9F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(150.0~1500)mg/L，可拓展至15000mg/L</w:t>
            </w:r>
          </w:p>
        </w:tc>
      </w:tr>
      <w:tr w:rsidR="00FB507E" w14:paraId="7E7B080C" w14:textId="77777777" w:rsidTr="00E43731">
        <w:trPr>
          <w:trHeight w:val="1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CA54D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E3C3C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误差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9ABA7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±8％</w:t>
            </w:r>
          </w:p>
        </w:tc>
      </w:tr>
      <w:tr w:rsidR="00FB507E" w14:paraId="346C1DE6" w14:textId="77777777" w:rsidTr="00E43731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0A128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34B7B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重复性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38042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≤3%</w:t>
            </w:r>
          </w:p>
        </w:tc>
      </w:tr>
      <w:tr w:rsidR="00FB507E" w14:paraId="2C8B7A23" w14:textId="77777777" w:rsidTr="00E43731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3C3B1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72D8D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稳定性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424E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&lt;6mg/L(20min)</w:t>
            </w:r>
          </w:p>
        </w:tc>
      </w:tr>
      <w:tr w:rsidR="00FB507E" w14:paraId="7C5B76DC" w14:textId="77777777" w:rsidTr="00E43731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95559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C1FDC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波长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EFD63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620nm</w:t>
            </w:r>
          </w:p>
        </w:tc>
      </w:tr>
      <w:tr w:rsidR="00FB507E" w14:paraId="0600409E" w14:textId="77777777" w:rsidTr="00E43731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BC317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83C38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需消解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B1BA5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需消解</w:t>
            </w:r>
          </w:p>
        </w:tc>
      </w:tr>
      <w:tr w:rsidR="00FB507E" w14:paraId="5CE3CBB8" w14:textId="77777777" w:rsidTr="00E43731">
        <w:trPr>
          <w:trHeight w:val="1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B9F4D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总磷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B25C4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测量方法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48D0C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钼酸盐分光光度法</w:t>
            </w:r>
          </w:p>
        </w:tc>
      </w:tr>
      <w:tr w:rsidR="00FB507E" w14:paraId="26347EA6" w14:textId="77777777" w:rsidTr="00E43731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B31D4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5FA5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测量范围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8F74F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(0.000~1.000)mg/L，可拓展至10.00mg/L</w:t>
            </w:r>
          </w:p>
        </w:tc>
      </w:tr>
      <w:tr w:rsidR="00FB507E" w14:paraId="2F73C7DD" w14:textId="77777777" w:rsidTr="00E43731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B5DFA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1816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误差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5DCC8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±10％</w:t>
            </w:r>
          </w:p>
        </w:tc>
      </w:tr>
      <w:tr w:rsidR="00FB507E" w14:paraId="23611695" w14:textId="77777777" w:rsidTr="00E43731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72FA6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B95EB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重复性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3556D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≤3%</w:t>
            </w:r>
          </w:p>
        </w:tc>
      </w:tr>
      <w:tr w:rsidR="00FB507E" w14:paraId="75B4C664" w14:textId="77777777" w:rsidTr="00E43731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C1FC1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bookmarkStart w:id="3" w:name="OLE_LINK175" w:colFirst="2" w:colLast="2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0FD9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稳定性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BBE6A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&lt;0.050mg/L(20min)</w:t>
            </w:r>
          </w:p>
        </w:tc>
      </w:tr>
      <w:tr w:rsidR="00FB507E" w14:paraId="28A63649" w14:textId="77777777" w:rsidTr="00E43731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BDB05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2FD9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检出限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E7A49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≤0.05mg/L</w:t>
            </w:r>
          </w:p>
        </w:tc>
      </w:tr>
      <w:bookmarkEnd w:id="3"/>
      <w:tr w:rsidR="00FB507E" w14:paraId="743D8F7A" w14:textId="77777777" w:rsidTr="00E43731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D5A5A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FDB47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波长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C0F8F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700nm</w:t>
            </w:r>
          </w:p>
        </w:tc>
      </w:tr>
      <w:tr w:rsidR="00FB507E" w14:paraId="13FDB035" w14:textId="77777777" w:rsidTr="00E43731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633CD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42AD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是否消解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09C6C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需消解</w:t>
            </w:r>
          </w:p>
        </w:tc>
      </w:tr>
      <w:tr w:rsidR="00FB507E" w14:paraId="43F50840" w14:textId="77777777" w:rsidTr="00E43731">
        <w:trPr>
          <w:trHeight w:val="1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D9F73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总氮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AA91C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测量方法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68911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碱性过硫酸钾消解-变色酸钠</w:t>
            </w:r>
          </w:p>
        </w:tc>
      </w:tr>
      <w:tr w:rsidR="00FB507E" w14:paraId="7EC4ADBF" w14:textId="77777777" w:rsidTr="00E43731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A4622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159BE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测量范围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CD498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(0.000~30.00)mg/L，可拓展至300.0mg/L</w:t>
            </w:r>
          </w:p>
        </w:tc>
      </w:tr>
      <w:tr w:rsidR="00FB507E" w14:paraId="76C6792F" w14:textId="77777777" w:rsidTr="00E43731">
        <w:trPr>
          <w:trHeight w:val="2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A731E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341D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误差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F4428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≤10mg/L：±1 mg/L；</w:t>
            </w:r>
          </w:p>
          <w:p w14:paraId="2C1683AE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＞10mg/L：±5%</w:t>
            </w:r>
          </w:p>
        </w:tc>
      </w:tr>
      <w:tr w:rsidR="00FB507E" w14:paraId="64D3C5B2" w14:textId="77777777" w:rsidTr="00E43731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3EB26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DA02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重复性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6A53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≤3%</w:t>
            </w:r>
          </w:p>
        </w:tc>
      </w:tr>
      <w:tr w:rsidR="00FB507E" w14:paraId="4A4A6012" w14:textId="77777777" w:rsidTr="00E43731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42BCF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7E7D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检出限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E5688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≤1mg/L</w:t>
            </w:r>
          </w:p>
        </w:tc>
      </w:tr>
      <w:tr w:rsidR="00FB507E" w14:paraId="3A2EF826" w14:textId="77777777" w:rsidTr="00E43731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46304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74714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波长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E8DB4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420nm</w:t>
            </w:r>
          </w:p>
        </w:tc>
      </w:tr>
      <w:tr w:rsidR="00FB507E" w14:paraId="4B2790F9" w14:textId="77777777" w:rsidTr="00E43731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2A7C4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DB81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是否消解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9A6A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需消解</w:t>
            </w:r>
          </w:p>
        </w:tc>
      </w:tr>
      <w:tr w:rsidR="00FB507E" w14:paraId="1C35ABB7" w14:textId="77777777" w:rsidTr="00E43731">
        <w:trPr>
          <w:trHeight w:val="14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190B3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吸光度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009E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测量范围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95BDB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(0.000～2.000)Abs</w:t>
            </w:r>
          </w:p>
        </w:tc>
      </w:tr>
      <w:tr w:rsidR="00FB507E" w14:paraId="42CBA1A6" w14:textId="77777777" w:rsidTr="00E43731">
        <w:trPr>
          <w:trHeight w:val="146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94613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波长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264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测量波长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E27DA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420nm、470nm、620nm、700nm</w:t>
            </w:r>
          </w:p>
        </w:tc>
      </w:tr>
      <w:tr w:rsidR="00FB507E" w14:paraId="01711E34" w14:textId="77777777" w:rsidTr="00E43731">
        <w:trPr>
          <w:trHeight w:val="146"/>
        </w:trPr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533C6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FFDEE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准确度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D8CD8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±4nm</w:t>
            </w:r>
          </w:p>
        </w:tc>
      </w:tr>
      <w:tr w:rsidR="00FB507E" w14:paraId="52DE44DB" w14:textId="77777777" w:rsidTr="00E43731">
        <w:trPr>
          <w:trHeight w:val="146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05B4C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透射比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B6B79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示值误差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6BF85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±2%</w:t>
            </w:r>
          </w:p>
        </w:tc>
      </w:tr>
      <w:tr w:rsidR="00FB507E" w14:paraId="3A17602B" w14:textId="77777777" w:rsidTr="00E43731">
        <w:trPr>
          <w:trHeight w:val="146"/>
        </w:trPr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479D9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35013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重复性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3C55E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≤ 0.5％</w:t>
            </w:r>
          </w:p>
        </w:tc>
      </w:tr>
      <w:tr w:rsidR="00FB507E" w14:paraId="5D5E2FBA" w14:textId="77777777" w:rsidTr="00E43731">
        <w:trPr>
          <w:trHeight w:val="146"/>
        </w:trPr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343A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数据储存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D7068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各500组检测结果</w:t>
            </w:r>
          </w:p>
        </w:tc>
      </w:tr>
      <w:tr w:rsidR="00FB507E" w14:paraId="7ADC6D4C" w14:textId="77777777" w:rsidTr="00E43731">
        <w:trPr>
          <w:trHeight w:val="146"/>
        </w:trPr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ECA2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  <w:color w:val="0000FF"/>
              </w:rPr>
            </w:pPr>
            <w:r>
              <w:rPr>
                <w:rFonts w:ascii="微软雅黑" w:hAnsi="微软雅黑" w:cs="微软雅黑" w:hint="eastAsia"/>
                <w:color w:val="0000FF"/>
              </w:rPr>
              <w:t>测量池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7B234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  <w:color w:val="0000FF"/>
              </w:rPr>
            </w:pPr>
            <w:r>
              <w:rPr>
                <w:rFonts w:ascii="微软雅黑" w:hAnsi="微软雅黑" w:cs="微软雅黑" w:hint="eastAsia"/>
                <w:color w:val="0000FF"/>
              </w:rPr>
              <w:t>25mm</w:t>
            </w:r>
            <w:proofErr w:type="gramStart"/>
            <w:r>
              <w:rPr>
                <w:rFonts w:ascii="微软雅黑" w:hAnsi="微软雅黑" w:cs="微软雅黑" w:hint="eastAsia"/>
                <w:color w:val="0000FF"/>
              </w:rPr>
              <w:t>比色瓶</w:t>
            </w:r>
            <w:proofErr w:type="gramEnd"/>
            <w:r>
              <w:rPr>
                <w:rFonts w:ascii="微软雅黑" w:hAnsi="微软雅黑" w:cs="微软雅黑" w:hint="eastAsia"/>
                <w:color w:val="0000FF"/>
              </w:rPr>
              <w:t>,16mm</w:t>
            </w:r>
            <w:proofErr w:type="gramStart"/>
            <w:r>
              <w:rPr>
                <w:rFonts w:ascii="微软雅黑" w:hAnsi="微软雅黑" w:cs="微软雅黑" w:hint="eastAsia"/>
                <w:color w:val="0000FF"/>
              </w:rPr>
              <w:t>比色管</w:t>
            </w:r>
            <w:proofErr w:type="gramEnd"/>
          </w:p>
        </w:tc>
      </w:tr>
      <w:tr w:rsidR="00FB507E" w14:paraId="0862ACFC" w14:textId="77777777" w:rsidTr="00E43731">
        <w:trPr>
          <w:trHeight w:val="275"/>
        </w:trPr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A0474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电源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9BC1F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电源适配器(输入AC：(100～240)V，输出：DC20V</w:t>
            </w:r>
          </w:p>
        </w:tc>
      </w:tr>
      <w:tr w:rsidR="00FB507E" w14:paraId="1F5F9199" w14:textId="77777777" w:rsidTr="00E43731">
        <w:trPr>
          <w:trHeight w:val="146"/>
        </w:trPr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2EA1B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尺寸(mm)；重量(kg)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EE3E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302×205×122，1.33</w:t>
            </w:r>
          </w:p>
        </w:tc>
      </w:tr>
      <w:tr w:rsidR="00FB507E" w14:paraId="386A3FB2" w14:textId="77777777" w:rsidTr="00E43731">
        <w:trPr>
          <w:trHeight w:val="280"/>
        </w:trPr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16297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包装尺寸(mm)，毛重(kg)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003B0" w14:textId="77777777" w:rsidR="00FB507E" w:rsidRDefault="00FB507E" w:rsidP="00E43731">
            <w:pPr>
              <w:pStyle w:val="LC0"/>
              <w:rPr>
                <w:rFonts w:ascii="微软雅黑" w:hAnsi="微软雅黑" w:cs="微软雅黑" w:hint="eastAsia"/>
              </w:rPr>
            </w:pPr>
          </w:p>
        </w:tc>
      </w:tr>
      <w:bookmarkEnd w:id="1"/>
    </w:tbl>
    <w:p w14:paraId="5F1A5173" w14:textId="77777777" w:rsidR="00FB507E" w:rsidRDefault="00FB507E" w:rsidP="00FB507E">
      <w:pPr>
        <w:pStyle w:val="21"/>
        <w:spacing w:line="276" w:lineRule="auto"/>
        <w:rPr>
          <w:rFonts w:ascii="微软雅黑" w:eastAsia="微软雅黑" w:hAnsi="微软雅黑" w:cs="微软雅黑" w:hint="eastAsia"/>
          <w:color w:val="000000" w:themeColor="text1"/>
        </w:rPr>
      </w:pPr>
    </w:p>
    <w:p w14:paraId="0FB3950D" w14:textId="77777777" w:rsidR="00FB507E" w:rsidRDefault="00FB507E" w:rsidP="00FB507E">
      <w:pPr>
        <w:pStyle w:val="21"/>
        <w:spacing w:line="276" w:lineRule="auto"/>
        <w:rPr>
          <w:rFonts w:ascii="微软雅黑" w:eastAsia="微软雅黑" w:hAnsi="微软雅黑" w:cs="微软雅黑" w:hint="eastAsia"/>
          <w:color w:val="000000" w:themeColor="text1"/>
        </w:rPr>
      </w:pPr>
      <w:r>
        <w:rPr>
          <w:rFonts w:ascii="微软雅黑" w:eastAsia="微软雅黑" w:hAnsi="微软雅黑" w:cs="微软雅黑" w:hint="eastAsia"/>
          <w:color w:val="000000" w:themeColor="text1"/>
        </w:rPr>
        <w:lastRenderedPageBreak/>
        <w:t>注：本产品按照“仪器 + 工作试剂 + 校准试剂”选购销售，配置灵活，方便客户选择。样品需要消解的部分检测项目，需选配消解器。</w:t>
      </w:r>
    </w:p>
    <w:p w14:paraId="71035163" w14:textId="77777777" w:rsidR="00D91D6C" w:rsidRPr="00FB507E" w:rsidRDefault="00D91D6C">
      <w:pPr>
        <w:rPr>
          <w:rFonts w:hint="eastAsia"/>
        </w:rPr>
      </w:pPr>
    </w:p>
    <w:sectPr w:rsidR="00D91D6C" w:rsidRPr="00FB5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HTK--GBK1-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limama DongFangDaKai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BB2F0"/>
    <w:multiLevelType w:val="multilevel"/>
    <w:tmpl w:val="330BB2F0"/>
    <w:lvl w:ilvl="0">
      <w:start w:val="1"/>
      <w:numFmt w:val="bullet"/>
      <w:pStyle w:val="LC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num w:numId="1" w16cid:durableId="78990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7E"/>
    <w:rsid w:val="001C7477"/>
    <w:rsid w:val="00285CA1"/>
    <w:rsid w:val="00D23B66"/>
    <w:rsid w:val="00D91D6C"/>
    <w:rsid w:val="00FB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C8086"/>
  <w15:chartTrackingRefBased/>
  <w15:docId w15:val="{CECBD936-BD12-4877-9B9C-5856FD0C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B507E"/>
    <w:pPr>
      <w:widowControl w:val="0"/>
      <w:adjustRightInd w:val="0"/>
      <w:snapToGrid w:val="0"/>
      <w:spacing w:after="0" w:line="240" w:lineRule="auto"/>
      <w:jc w:val="both"/>
    </w:pPr>
    <w:rPr>
      <w:rFonts w:ascii="Arial Unicode MS" w:eastAsia="Arial Unicode MS" w:hAnsi="Arial Unicode MS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B5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B5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07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07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07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07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07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07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0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sid w:val="00FB50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0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07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07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07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0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07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0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07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507E"/>
    <w:rPr>
      <w:b/>
      <w:bCs/>
      <w:smallCaps/>
      <w:color w:val="0F4761" w:themeColor="accent1" w:themeShade="BF"/>
      <w:spacing w:val="5"/>
    </w:rPr>
  </w:style>
  <w:style w:type="paragraph" w:styleId="ae">
    <w:name w:val="Body Text Indent"/>
    <w:basedOn w:val="a"/>
    <w:link w:val="af"/>
    <w:uiPriority w:val="99"/>
    <w:semiHidden/>
    <w:unhideWhenUsed/>
    <w:rsid w:val="00FB507E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FB507E"/>
    <w:rPr>
      <w:rFonts w:ascii="Arial Unicode MS" w:eastAsia="Arial Unicode MS" w:hAnsi="Arial Unicode MS"/>
      <w:sz w:val="21"/>
      <w:szCs w:val="21"/>
      <w14:ligatures w14:val="none"/>
    </w:rPr>
  </w:style>
  <w:style w:type="paragraph" w:styleId="21">
    <w:name w:val="Body Text First Indent 2"/>
    <w:basedOn w:val="ae"/>
    <w:link w:val="22"/>
    <w:autoRedefine/>
    <w:qFormat/>
    <w:rsid w:val="00FB507E"/>
    <w:pPr>
      <w:ind w:leftChars="0" w:left="0" w:firstLine="420"/>
    </w:pPr>
    <w:rPr>
      <w:rFonts w:ascii="Times New Roman" w:eastAsia="宋体" w:hAnsi="Times New Roman" w:cs="Times New Roman"/>
    </w:rPr>
  </w:style>
  <w:style w:type="character" w:customStyle="1" w:styleId="22">
    <w:name w:val="正文文本首行缩进 2 字符"/>
    <w:basedOn w:val="af"/>
    <w:link w:val="21"/>
    <w:qFormat/>
    <w:rsid w:val="00FB507E"/>
    <w:rPr>
      <w:rFonts w:ascii="Times New Roman" w:eastAsia="宋体" w:hAnsi="Times New Roman" w:cs="Times New Roman"/>
      <w:sz w:val="21"/>
      <w:szCs w:val="21"/>
      <w14:ligatures w14:val="none"/>
    </w:rPr>
  </w:style>
  <w:style w:type="paragraph" w:customStyle="1" w:styleId="LC0">
    <w:name w:val="LC表"/>
    <w:link w:val="LCChar"/>
    <w:autoRedefine/>
    <w:qFormat/>
    <w:rsid w:val="00FB507E"/>
    <w:pPr>
      <w:adjustRightInd w:val="0"/>
      <w:snapToGrid w:val="0"/>
      <w:spacing w:after="0" w:line="240" w:lineRule="auto"/>
      <w:jc w:val="center"/>
    </w:pPr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">
    <w:name w:val="LC 文字内容 带符号编码"/>
    <w:next w:val="a"/>
    <w:link w:val="LCChar1"/>
    <w:autoRedefine/>
    <w:qFormat/>
    <w:rsid w:val="00FB507E"/>
    <w:pPr>
      <w:numPr>
        <w:numId w:val="1"/>
      </w:numPr>
      <w:adjustRightInd w:val="0"/>
      <w:snapToGrid w:val="0"/>
      <w:spacing w:after="0" w:line="240" w:lineRule="auto"/>
      <w:ind w:leftChars="200" w:left="840"/>
      <w:jc w:val="both"/>
    </w:pPr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1">
    <w:name w:val="LC 文字内容 带符号编码 Char1"/>
    <w:link w:val="LC"/>
    <w:autoRedefine/>
    <w:qFormat/>
    <w:rsid w:val="00FB507E"/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">
    <w:name w:val="LC表 Char"/>
    <w:link w:val="LC0"/>
    <w:autoRedefine/>
    <w:qFormat/>
    <w:rsid w:val="00FB507E"/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1">
    <w:name w:val="LC主要特点"/>
    <w:basedOn w:val="a"/>
    <w:link w:val="LCChar0"/>
    <w:autoRedefine/>
    <w:qFormat/>
    <w:rsid w:val="00FB507E"/>
    <w:rPr>
      <w:rFonts w:ascii="Arial" w:eastAsia="微软雅黑" w:hAnsi="Arial"/>
      <w:b/>
    </w:rPr>
  </w:style>
  <w:style w:type="character" w:customStyle="1" w:styleId="LCChar0">
    <w:name w:val="LC主要特点 Char"/>
    <w:link w:val="LC1"/>
    <w:autoRedefine/>
    <w:qFormat/>
    <w:rsid w:val="00FB507E"/>
    <w:rPr>
      <w:rFonts w:ascii="Arial" w:eastAsia="微软雅黑" w:hAnsi="Arial"/>
      <w:b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2</cp:revision>
  <dcterms:created xsi:type="dcterms:W3CDTF">2024-12-05T03:51:00Z</dcterms:created>
  <dcterms:modified xsi:type="dcterms:W3CDTF">2024-12-05T03:51:00Z</dcterms:modified>
</cp:coreProperties>
</file>