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714BD" w14:textId="77777777" w:rsidR="00BE2C78" w:rsidRDefault="00BE2C78" w:rsidP="00BE2C78">
      <w:pPr>
        <w:pStyle w:val="2"/>
        <w:rPr>
          <w:rFonts w:ascii="微软雅黑" w:eastAsia="微软雅黑" w:hAnsi="微软雅黑" w:cs="微软雅黑" w:hint="eastAsia"/>
          <w:color w:val="000000" w:themeColor="text1"/>
        </w:rPr>
      </w:pPr>
      <w:bookmarkStart w:id="0" w:name="_Toc25296"/>
      <w:bookmarkStart w:id="1" w:name="_Toc6199"/>
      <w:bookmarkStart w:id="2" w:name="_Toc16436"/>
      <w:bookmarkStart w:id="3" w:name="_Toc7731"/>
      <w:bookmarkStart w:id="4" w:name="_Toc11943"/>
      <w:bookmarkStart w:id="5" w:name="_Toc27036"/>
      <w:bookmarkStart w:id="6" w:name="_Toc31777"/>
      <w:bookmarkStart w:id="7" w:name="_Toc13200"/>
      <w:r>
        <w:rPr>
          <w:rFonts w:ascii="微软雅黑" w:eastAsia="微软雅黑" w:hAnsi="微软雅黑" w:cs="微软雅黑" w:hint="eastAsia"/>
          <w:color w:val="000000" w:themeColor="text1"/>
        </w:rPr>
        <w:t>PXBJ-287L型便携式离子计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4F38B7A" w14:textId="77777777" w:rsidR="00BE2C78" w:rsidRDefault="00BE2C78" w:rsidP="00BE2C78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2E5B0158" wp14:editId="744F55F2">
            <wp:extent cx="3048000" cy="3020695"/>
            <wp:effectExtent l="0" t="0" r="0" b="0"/>
            <wp:docPr id="189" name="图片 189" descr="PXBJ-287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 descr="PXBJ-287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A81B0" w14:textId="77777777" w:rsidR="00BE2C78" w:rsidRDefault="00BE2C78" w:rsidP="00BE2C78">
      <w:pPr>
        <w:jc w:val="center"/>
        <w:rPr>
          <w:rFonts w:ascii="微软雅黑" w:eastAsia="微软雅黑" w:hAnsi="微软雅黑" w:cs="微软雅黑" w:hint="eastAsia"/>
        </w:rPr>
      </w:pPr>
    </w:p>
    <w:p w14:paraId="058E29E3" w14:textId="77777777" w:rsidR="00BE2C78" w:rsidRDefault="00BE2C78" w:rsidP="00BE2C78">
      <w:pPr>
        <w:pStyle w:val="LC1"/>
        <w:jc w:val="left"/>
        <w:rPr>
          <w:rFonts w:ascii="微软雅黑" w:hAnsi="微软雅黑" w:cs="微软雅黑" w:hint="eastAsia"/>
          <w:color w:val="000000" w:themeColor="text1"/>
          <w:u w:val="single"/>
        </w:rPr>
      </w:pPr>
      <w:r>
        <w:rPr>
          <w:rFonts w:ascii="微软雅黑" w:hAnsi="微软雅黑" w:cs="微软雅黑" w:hint="eastAsia"/>
        </w:rPr>
        <w:t>主要特点</w:t>
      </w:r>
    </w:p>
    <w:p w14:paraId="39E9A0FD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采用4.3英寸高清彩色液晶触摸屏，显示清晰</w:t>
      </w:r>
    </w:p>
    <w:p w14:paraId="52D1D43D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支持中英文</w:t>
      </w:r>
    </w:p>
    <w:p w14:paraId="56C80931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分辨率可选：</w:t>
      </w:r>
      <w:proofErr w:type="spellStart"/>
      <w:r>
        <w:rPr>
          <w:rFonts w:ascii="微软雅黑" w:hAnsi="微软雅黑" w:cs="微软雅黑" w:hint="eastAsia"/>
        </w:rPr>
        <w:t>pX</w:t>
      </w:r>
      <w:proofErr w:type="spellEnd"/>
      <w:r>
        <w:rPr>
          <w:rFonts w:ascii="微软雅黑" w:hAnsi="微软雅黑" w:cs="微软雅黑" w:hint="eastAsia"/>
        </w:rPr>
        <w:t>支持0.001pX 、0.01pX和0.1pX，mV支持0.01 mV、0.1 mV和1mV</w:t>
      </w:r>
    </w:p>
    <w:p w14:paraId="53157F41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温度单位可选：℃ 和 °F</w:t>
      </w:r>
    </w:p>
    <w:p w14:paraId="7ABFD460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支持开机自诊断、自动关机、断电保护和恢复出厂设置等功能</w:t>
      </w:r>
    </w:p>
    <w:p w14:paraId="2C435911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支持固件升级功能，允许功能扩展和个性化要求</w:t>
      </w:r>
    </w:p>
    <w:p w14:paraId="2EBCB41F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支持IP65防护等级</w:t>
      </w:r>
    </w:p>
    <w:p w14:paraId="1856E607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proofErr w:type="gramStart"/>
      <w:r>
        <w:rPr>
          <w:rFonts w:ascii="微软雅黑" w:hAnsi="微软雅黑" w:cs="微软雅黑" w:hint="eastAsia"/>
        </w:rPr>
        <w:t>标配氟</w:t>
      </w:r>
      <w:proofErr w:type="gramEnd"/>
      <w:r>
        <w:rPr>
          <w:rFonts w:ascii="微软雅黑" w:hAnsi="微软雅黑" w:cs="微软雅黑" w:hint="eastAsia"/>
        </w:rPr>
        <w:t>离子复合电极、温度电极、氟离子电极校准溶液、常规浓度总离子强度调节缓冲液 II、电极挂架、硅胶保护套、腕带、便携式手提箱</w:t>
      </w:r>
    </w:p>
    <w:p w14:paraId="58C34912" w14:textId="77777777" w:rsidR="00BE2C78" w:rsidRDefault="00BE2C78" w:rsidP="00BE2C78">
      <w:pPr>
        <w:pStyle w:val="LC1"/>
        <w:widowControl/>
        <w:spacing w:line="276" w:lineRule="auto"/>
        <w:jc w:val="left"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智能检测、自动识别</w:t>
      </w:r>
    </w:p>
    <w:p w14:paraId="56D73006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智能操作系统，具有方法管理、电极管理、数据管理和用户管理等功能</w:t>
      </w:r>
    </w:p>
    <w:p w14:paraId="185A3305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支持用户三级权限管理，支持密码管理</w:t>
      </w:r>
    </w:p>
    <w:p w14:paraId="5763FC50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智能判别终点，支持自动读数、定时读数、定时间隔读数、手动读数</w:t>
      </w:r>
    </w:p>
    <w:p w14:paraId="31D37D6D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支持自动/手动温度补偿</w:t>
      </w:r>
    </w:p>
    <w:p w14:paraId="197F9BD0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 xml:space="preserve">支持(1~8)点pH/ </w:t>
      </w:r>
      <w:proofErr w:type="spellStart"/>
      <w:r>
        <w:rPr>
          <w:rFonts w:ascii="微软雅黑" w:hAnsi="微软雅黑" w:cs="微软雅黑" w:hint="eastAsia"/>
        </w:rPr>
        <w:t>pX</w:t>
      </w:r>
      <w:proofErr w:type="spellEnd"/>
      <w:r>
        <w:rPr>
          <w:rFonts w:ascii="微软雅黑" w:hAnsi="微软雅黑" w:cs="微软雅黑" w:hint="eastAsia"/>
        </w:rPr>
        <w:t>电极标定</w:t>
      </w:r>
    </w:p>
    <w:p w14:paraId="4F892C8A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支持1点ORP电极标定</w:t>
      </w:r>
    </w:p>
    <w:p w14:paraId="5C7E89E4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具有标定提醒和报警功能</w:t>
      </w:r>
    </w:p>
    <w:p w14:paraId="7D7CCEE9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自动识别GB、DIN、NIST、USA、MERK、JIS等6组标准缓冲溶液，支持</w:t>
      </w:r>
      <w:proofErr w:type="gramStart"/>
      <w:r>
        <w:rPr>
          <w:rFonts w:ascii="微软雅黑" w:hAnsi="微软雅黑" w:cs="微软雅黑" w:hint="eastAsia"/>
        </w:rPr>
        <w:t>标液组</w:t>
      </w:r>
      <w:proofErr w:type="gramEnd"/>
      <w:r>
        <w:rPr>
          <w:rFonts w:ascii="微软雅黑" w:hAnsi="微软雅黑" w:cs="微软雅黑" w:hint="eastAsia"/>
        </w:rPr>
        <w:t>管理，支持自定义pH缓冲溶液和</w:t>
      </w:r>
      <w:proofErr w:type="gramStart"/>
      <w:r>
        <w:rPr>
          <w:rFonts w:ascii="微软雅黑" w:hAnsi="微软雅黑" w:cs="微软雅黑" w:hint="eastAsia"/>
        </w:rPr>
        <w:t>标液组</w:t>
      </w:r>
      <w:proofErr w:type="gramEnd"/>
    </w:p>
    <w:p w14:paraId="381AADBE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lastRenderedPageBreak/>
        <w:t>内置Na</w:t>
      </w:r>
      <w:r>
        <w:rPr>
          <w:rFonts w:ascii="微软雅黑" w:hAnsi="微软雅黑" w:cs="微软雅黑" w:hint="eastAsia"/>
          <w:sz w:val="22"/>
          <w:szCs w:val="21"/>
          <w:vertAlign w:val="superscript"/>
        </w:rPr>
        <w:t>+</w:t>
      </w:r>
      <w:r>
        <w:rPr>
          <w:rFonts w:ascii="微软雅黑" w:hAnsi="微软雅黑" w:cs="微软雅黑" w:hint="eastAsia"/>
        </w:rPr>
        <w:t>、K</w:t>
      </w:r>
      <w:r>
        <w:rPr>
          <w:rFonts w:ascii="微软雅黑" w:hAnsi="微软雅黑" w:cs="微软雅黑" w:hint="eastAsia"/>
          <w:sz w:val="22"/>
          <w:szCs w:val="21"/>
          <w:vertAlign w:val="superscript"/>
        </w:rPr>
        <w:t>+</w:t>
      </w:r>
      <w:r>
        <w:rPr>
          <w:rFonts w:ascii="微软雅黑" w:hAnsi="微软雅黑" w:cs="微软雅黑" w:hint="eastAsia"/>
        </w:rPr>
        <w:t>、NH</w:t>
      </w:r>
      <w:r>
        <w:rPr>
          <w:rFonts w:ascii="微软雅黑" w:hAnsi="微软雅黑" w:cs="微软雅黑" w:hint="eastAsia"/>
          <w:sz w:val="22"/>
          <w:szCs w:val="21"/>
          <w:vertAlign w:val="subscript"/>
        </w:rPr>
        <w:t>4</w:t>
      </w:r>
      <w:r>
        <w:rPr>
          <w:rFonts w:ascii="微软雅黑" w:hAnsi="微软雅黑" w:cs="微软雅黑" w:hint="eastAsia"/>
          <w:sz w:val="22"/>
          <w:szCs w:val="21"/>
          <w:vertAlign w:val="superscript"/>
        </w:rPr>
        <w:t>+</w:t>
      </w:r>
      <w:r>
        <w:rPr>
          <w:rFonts w:ascii="微软雅黑" w:hAnsi="微软雅黑" w:cs="微软雅黑" w:hint="eastAsia"/>
        </w:rPr>
        <w:t>、Cl</w:t>
      </w:r>
      <w:r>
        <w:rPr>
          <w:rFonts w:ascii="微软雅黑" w:hAnsi="微软雅黑" w:cs="微软雅黑" w:hint="eastAsia"/>
          <w:vertAlign w:val="superscript"/>
        </w:rPr>
        <w:t>-</w:t>
      </w:r>
      <w:r>
        <w:rPr>
          <w:rFonts w:ascii="微软雅黑" w:hAnsi="微软雅黑" w:cs="微软雅黑" w:hint="eastAsia"/>
        </w:rPr>
        <w:t>、F</w:t>
      </w:r>
      <w:r>
        <w:rPr>
          <w:rFonts w:ascii="微软雅黑" w:hAnsi="微软雅黑" w:cs="微软雅黑" w:hint="eastAsia"/>
          <w:vertAlign w:val="superscript"/>
        </w:rPr>
        <w:t>-</w:t>
      </w:r>
      <w:r>
        <w:rPr>
          <w:rFonts w:ascii="微软雅黑" w:hAnsi="微软雅黑" w:cs="微软雅黑" w:hint="eastAsia"/>
        </w:rPr>
        <w:t>等多种离子模式，允许用户自建</w:t>
      </w:r>
    </w:p>
    <w:p w14:paraId="7288177B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μg/L、mg/L、g/L、mol/L、mmol/L、ppm、ppb 多种离子浓度单位快速切换</w:t>
      </w:r>
    </w:p>
    <w:p w14:paraId="69F9B222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测量模式：直读浓度法测量、标准添加法测量、样品添加法测量、GRAN法测量</w:t>
      </w:r>
    </w:p>
    <w:p w14:paraId="2B33A449" w14:textId="77777777" w:rsidR="00BE2C78" w:rsidRDefault="00BE2C78" w:rsidP="00BE2C78">
      <w:pPr>
        <w:pStyle w:val="LC1"/>
        <w:widowControl/>
        <w:spacing w:line="276" w:lineRule="auto"/>
        <w:jc w:val="left"/>
        <w:rPr>
          <w:rFonts w:ascii="微软雅黑" w:hAnsi="微软雅黑" w:cs="微软雅黑" w:hint="eastAsia"/>
          <w:bCs/>
          <w:color w:val="000000"/>
          <w:kern w:val="0"/>
        </w:rPr>
      </w:pPr>
      <w:r>
        <w:rPr>
          <w:rFonts w:ascii="微软雅黑" w:hAnsi="微软雅黑" w:cs="微软雅黑" w:hint="eastAsia"/>
        </w:rPr>
        <w:t>数据管理，信息追溯</w:t>
      </w:r>
    </w:p>
    <w:p w14:paraId="77324781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支持数据存储(各1000套)、查阅、删除、统计、分析、传输</w:t>
      </w:r>
    </w:p>
    <w:p w14:paraId="5EEE0889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Times New Roman" w:hAnsi="Times New Roman" w:cs="Times New Roman"/>
        </w:rPr>
        <w:t>支持多种查阅方式，查阅结果以曲线方式显示</w:t>
      </w:r>
    </w:p>
    <w:p w14:paraId="6CCA6687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符合GLP，实现数据追溯和统计分析</w:t>
      </w:r>
    </w:p>
    <w:p w14:paraId="2BCC456D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 USB 接口，通过专用通信软件与PC连接，实现数据传输；支持连接LIMS系统；支持U盘读写；支持扫描枪</w:t>
      </w:r>
    </w:p>
    <w:p w14:paraId="56902E27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内置蓝牙，支持无线传输</w:t>
      </w:r>
    </w:p>
    <w:p w14:paraId="744779E9" w14:textId="77777777" w:rsidR="00BE2C78" w:rsidRDefault="00BE2C78" w:rsidP="00BE2C78">
      <w:pPr>
        <w:pStyle w:val="LC1"/>
        <w:widowControl/>
        <w:spacing w:line="276" w:lineRule="auto"/>
        <w:jc w:val="left"/>
        <w:rPr>
          <w:rFonts w:ascii="微软雅黑" w:hAnsi="微软雅黑" w:cs="微软雅黑" w:hint="eastAsia"/>
          <w:color w:val="000000"/>
          <w:kern w:val="0"/>
        </w:rPr>
      </w:pPr>
      <w:r>
        <w:rPr>
          <w:rFonts w:ascii="微软雅黑" w:hAnsi="微软雅黑" w:cs="微软雅黑" w:hint="eastAsia"/>
        </w:rPr>
        <w:t>电源管理</w:t>
      </w:r>
    </w:p>
    <w:p w14:paraId="751CE77D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大容量锂电池供电，支持连接PC和移动电源充电</w:t>
      </w:r>
    </w:p>
    <w:p w14:paraId="70E98C63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具有电池电量提示功能和充电状态提醒功能</w:t>
      </w:r>
    </w:p>
    <w:p w14:paraId="4ABB940C" w14:textId="77777777" w:rsidR="00BE2C78" w:rsidRDefault="00BE2C78" w:rsidP="00BE2C78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支持背光调节</w:t>
      </w:r>
    </w:p>
    <w:p w14:paraId="192B615C" w14:textId="77777777" w:rsidR="00BE2C78" w:rsidRDefault="00BE2C78" w:rsidP="00BE2C78">
      <w:pPr>
        <w:pStyle w:val="LC1"/>
        <w:jc w:val="left"/>
        <w:rPr>
          <w:rFonts w:ascii="微软雅黑" w:hAnsi="微软雅黑" w:cs="微软雅黑" w:hint="eastAsia"/>
          <w:color w:val="000000" w:themeColor="text1"/>
          <w:u w:val="single"/>
        </w:rPr>
      </w:pPr>
      <w:r>
        <w:rPr>
          <w:rFonts w:ascii="微软雅黑" w:hAnsi="微软雅黑" w:cs="微软雅黑" w:hint="eastAsia"/>
        </w:rPr>
        <w:t>技术参数</w:t>
      </w:r>
    </w:p>
    <w:tbl>
      <w:tblPr>
        <w:tblStyle w:val="61"/>
        <w:tblW w:w="8528" w:type="dxa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2267"/>
        <w:gridCol w:w="5018"/>
      </w:tblGrid>
      <w:tr w:rsidR="00BE2C78" w14:paraId="3E3D41CB" w14:textId="77777777" w:rsidTr="002533D8">
        <w:trPr>
          <w:trHeight w:val="284"/>
          <w:jc w:val="center"/>
        </w:trPr>
        <w:tc>
          <w:tcPr>
            <w:tcW w:w="3510" w:type="dxa"/>
            <w:gridSpan w:val="2"/>
            <w:tcBorders>
              <w:tl2br w:val="single" w:sz="4" w:space="0" w:color="auto"/>
            </w:tcBorders>
            <w:vAlign w:val="center"/>
          </w:tcPr>
          <w:p w14:paraId="3042C776" w14:textId="77777777" w:rsidR="00BE2C78" w:rsidRDefault="00BE2C78" w:rsidP="002533D8">
            <w:pPr>
              <w:pStyle w:val="LC0"/>
              <w:jc w:val="right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型号</w:t>
            </w:r>
          </w:p>
          <w:p w14:paraId="0CEAC6D2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技术参数</w:t>
            </w:r>
          </w:p>
        </w:tc>
        <w:tc>
          <w:tcPr>
            <w:tcW w:w="5018" w:type="dxa"/>
            <w:vAlign w:val="center"/>
          </w:tcPr>
          <w:p w14:paraId="25DA2EAC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PXBJ-287L</w:t>
            </w:r>
          </w:p>
        </w:tc>
      </w:tr>
      <w:tr w:rsidR="00BE2C78" w14:paraId="7B8BEBA9" w14:textId="77777777" w:rsidTr="002533D8">
        <w:trPr>
          <w:trHeight w:val="284"/>
          <w:jc w:val="center"/>
        </w:trPr>
        <w:tc>
          <w:tcPr>
            <w:tcW w:w="3510" w:type="dxa"/>
            <w:gridSpan w:val="2"/>
            <w:vAlign w:val="center"/>
          </w:tcPr>
          <w:p w14:paraId="4F11E342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仪器级别</w:t>
            </w:r>
          </w:p>
        </w:tc>
        <w:tc>
          <w:tcPr>
            <w:tcW w:w="5018" w:type="dxa"/>
          </w:tcPr>
          <w:p w14:paraId="7C4844FF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0.001级</w:t>
            </w:r>
          </w:p>
        </w:tc>
      </w:tr>
      <w:tr w:rsidR="00BE2C78" w14:paraId="7533D494" w14:textId="77777777" w:rsidTr="002533D8">
        <w:trPr>
          <w:trHeight w:val="284"/>
          <w:jc w:val="center"/>
        </w:trPr>
        <w:tc>
          <w:tcPr>
            <w:tcW w:w="1243" w:type="dxa"/>
            <w:vMerge w:val="restart"/>
            <w:vAlign w:val="center"/>
          </w:tcPr>
          <w:p w14:paraId="41DCAA81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mV</w:t>
            </w:r>
          </w:p>
        </w:tc>
        <w:tc>
          <w:tcPr>
            <w:tcW w:w="2267" w:type="dxa"/>
            <w:vAlign w:val="center"/>
          </w:tcPr>
          <w:p w14:paraId="4985F74C" w14:textId="77777777" w:rsidR="00BE2C78" w:rsidRDefault="00BE2C78" w:rsidP="002533D8">
            <w:pPr>
              <w:pStyle w:val="LC0"/>
              <w:autoSpaceDN w:val="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5018" w:type="dxa"/>
          </w:tcPr>
          <w:p w14:paraId="336CEFAF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-2000.00～2000.00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mV</w:t>
            </w:r>
          </w:p>
        </w:tc>
      </w:tr>
      <w:tr w:rsidR="00BE2C78" w14:paraId="7A1FD76A" w14:textId="77777777" w:rsidTr="002533D8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606F20F5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2267" w:type="dxa"/>
            <w:vAlign w:val="center"/>
          </w:tcPr>
          <w:p w14:paraId="22504620" w14:textId="77777777" w:rsidR="00BE2C78" w:rsidRDefault="00BE2C78" w:rsidP="002533D8">
            <w:pPr>
              <w:pStyle w:val="LC0"/>
              <w:autoSpaceDN w:val="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5018" w:type="dxa"/>
          </w:tcPr>
          <w:p w14:paraId="7C9EFB69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0.01mV</w:t>
            </w:r>
          </w:p>
        </w:tc>
      </w:tr>
      <w:tr w:rsidR="00BE2C78" w14:paraId="2A27334D" w14:textId="77777777" w:rsidTr="002533D8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3297E97B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2267" w:type="dxa"/>
            <w:vAlign w:val="center"/>
          </w:tcPr>
          <w:p w14:paraId="08E4E3C9" w14:textId="77777777" w:rsidR="00BE2C78" w:rsidRDefault="00BE2C78" w:rsidP="002533D8">
            <w:pPr>
              <w:pStyle w:val="LC0"/>
              <w:autoSpaceDN w:val="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5018" w:type="dxa"/>
          </w:tcPr>
          <w:p w14:paraId="5003502A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±0.03%或±0.1mV</w:t>
            </w:r>
          </w:p>
        </w:tc>
      </w:tr>
      <w:tr w:rsidR="00BE2C78" w14:paraId="393F8641" w14:textId="77777777" w:rsidTr="002533D8">
        <w:trPr>
          <w:trHeight w:val="284"/>
          <w:jc w:val="center"/>
        </w:trPr>
        <w:tc>
          <w:tcPr>
            <w:tcW w:w="1243" w:type="dxa"/>
            <w:vMerge w:val="restart"/>
            <w:vAlign w:val="center"/>
          </w:tcPr>
          <w:p w14:paraId="3CE7D4DC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pH</w:t>
            </w:r>
          </w:p>
        </w:tc>
        <w:tc>
          <w:tcPr>
            <w:tcW w:w="2267" w:type="dxa"/>
            <w:vAlign w:val="center"/>
          </w:tcPr>
          <w:p w14:paraId="24DDC521" w14:textId="77777777" w:rsidR="00BE2C78" w:rsidRDefault="00BE2C78" w:rsidP="002533D8">
            <w:pPr>
              <w:pStyle w:val="LC0"/>
              <w:autoSpaceDN w:val="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5018" w:type="dxa"/>
          </w:tcPr>
          <w:p w14:paraId="6AE04838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-2.000～20.000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pH</w:t>
            </w:r>
          </w:p>
        </w:tc>
      </w:tr>
      <w:tr w:rsidR="00BE2C78" w14:paraId="3CC80634" w14:textId="77777777" w:rsidTr="002533D8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550E3378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2267" w:type="dxa"/>
            <w:vAlign w:val="center"/>
          </w:tcPr>
          <w:p w14:paraId="1CD963DA" w14:textId="77777777" w:rsidR="00BE2C78" w:rsidRDefault="00BE2C78" w:rsidP="002533D8">
            <w:pPr>
              <w:pStyle w:val="LC0"/>
              <w:autoSpaceDN w:val="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5018" w:type="dxa"/>
          </w:tcPr>
          <w:p w14:paraId="5AD87331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0.001pH</w:t>
            </w:r>
          </w:p>
        </w:tc>
      </w:tr>
      <w:tr w:rsidR="00BE2C78" w14:paraId="2AD88E61" w14:textId="77777777" w:rsidTr="002533D8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60A2C5D7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2267" w:type="dxa"/>
            <w:vAlign w:val="center"/>
          </w:tcPr>
          <w:p w14:paraId="5F8CB7D9" w14:textId="77777777" w:rsidR="00BE2C78" w:rsidRDefault="00BE2C78" w:rsidP="002533D8">
            <w:pPr>
              <w:pStyle w:val="LC0"/>
              <w:autoSpaceDN w:val="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5018" w:type="dxa"/>
          </w:tcPr>
          <w:p w14:paraId="3475EB81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±0.002pH</w:t>
            </w:r>
          </w:p>
        </w:tc>
      </w:tr>
      <w:tr w:rsidR="00BE2C78" w14:paraId="684AFD0B" w14:textId="77777777" w:rsidTr="002533D8">
        <w:trPr>
          <w:trHeight w:val="284"/>
          <w:jc w:val="center"/>
        </w:trPr>
        <w:tc>
          <w:tcPr>
            <w:tcW w:w="1243" w:type="dxa"/>
            <w:vMerge w:val="restart"/>
            <w:vAlign w:val="center"/>
          </w:tcPr>
          <w:p w14:paraId="50DAE2E6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proofErr w:type="spellStart"/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pX</w:t>
            </w:r>
            <w:proofErr w:type="spellEnd"/>
          </w:p>
        </w:tc>
        <w:tc>
          <w:tcPr>
            <w:tcW w:w="2267" w:type="dxa"/>
            <w:vAlign w:val="center"/>
          </w:tcPr>
          <w:p w14:paraId="783F6C37" w14:textId="77777777" w:rsidR="00BE2C78" w:rsidRDefault="00BE2C78" w:rsidP="002533D8">
            <w:pPr>
              <w:pStyle w:val="LC0"/>
              <w:autoSpaceDN w:val="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5018" w:type="dxa"/>
          </w:tcPr>
          <w:p w14:paraId="342771F1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-2.000～20.000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  <w:proofErr w:type="spellStart"/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pX</w:t>
            </w:r>
            <w:proofErr w:type="spellEnd"/>
          </w:p>
        </w:tc>
      </w:tr>
      <w:tr w:rsidR="00BE2C78" w14:paraId="0944AE2E" w14:textId="77777777" w:rsidTr="002533D8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1FDA8EAD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2267" w:type="dxa"/>
            <w:vAlign w:val="center"/>
          </w:tcPr>
          <w:p w14:paraId="1EA04A1B" w14:textId="77777777" w:rsidR="00BE2C78" w:rsidRDefault="00BE2C78" w:rsidP="002533D8">
            <w:pPr>
              <w:pStyle w:val="LC0"/>
              <w:autoSpaceDN w:val="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5018" w:type="dxa"/>
          </w:tcPr>
          <w:p w14:paraId="0647BDB0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0.001pX</w:t>
            </w:r>
          </w:p>
        </w:tc>
      </w:tr>
      <w:tr w:rsidR="00BE2C78" w14:paraId="2020EF21" w14:textId="77777777" w:rsidTr="002533D8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2ADAD8C1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2267" w:type="dxa"/>
            <w:vAlign w:val="center"/>
          </w:tcPr>
          <w:p w14:paraId="28BA26E0" w14:textId="77777777" w:rsidR="00BE2C78" w:rsidRDefault="00BE2C78" w:rsidP="002533D8">
            <w:pPr>
              <w:pStyle w:val="LC0"/>
              <w:autoSpaceDN w:val="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5018" w:type="dxa"/>
          </w:tcPr>
          <w:p w14:paraId="08723326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±0.002pX</w:t>
            </w:r>
          </w:p>
        </w:tc>
      </w:tr>
      <w:tr w:rsidR="00BE2C78" w14:paraId="697F41D8" w14:textId="77777777" w:rsidTr="002533D8">
        <w:trPr>
          <w:trHeight w:val="284"/>
          <w:jc w:val="center"/>
        </w:trPr>
        <w:tc>
          <w:tcPr>
            <w:tcW w:w="1243" w:type="dxa"/>
            <w:vMerge w:val="restart"/>
            <w:vAlign w:val="center"/>
          </w:tcPr>
          <w:p w14:paraId="2A8292EA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离子浓度</w:t>
            </w:r>
          </w:p>
        </w:tc>
        <w:tc>
          <w:tcPr>
            <w:tcW w:w="2267" w:type="dxa"/>
            <w:vAlign w:val="center"/>
          </w:tcPr>
          <w:p w14:paraId="6E4AF13F" w14:textId="77777777" w:rsidR="00BE2C78" w:rsidRDefault="00BE2C78" w:rsidP="002533D8">
            <w:pPr>
              <w:pStyle w:val="LC0"/>
              <w:autoSpaceDN w:val="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5018" w:type="dxa"/>
          </w:tcPr>
          <w:p w14:paraId="4C1600B6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( 1.000e-9～9.999e+9)</w:t>
            </w:r>
          </w:p>
          <w:p w14:paraId="032625A8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 xml:space="preserve">Unit: </w:t>
            </w:r>
            <w:proofErr w:type="spellStart"/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pX</w:t>
            </w:r>
            <w:proofErr w:type="spellEnd"/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, mol/L、mmol/L、g/L、mg/L、μg/</w:t>
            </w:r>
            <w:proofErr w:type="spellStart"/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L,ppm,ppb</w:t>
            </w:r>
            <w:proofErr w:type="spellEnd"/>
          </w:p>
        </w:tc>
      </w:tr>
      <w:tr w:rsidR="00BE2C78" w14:paraId="7172504B" w14:textId="77777777" w:rsidTr="002533D8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520DF4EE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2267" w:type="dxa"/>
            <w:vAlign w:val="center"/>
          </w:tcPr>
          <w:p w14:paraId="7C7A29CC" w14:textId="77777777" w:rsidR="00BE2C78" w:rsidRDefault="00BE2C78" w:rsidP="002533D8">
            <w:pPr>
              <w:pStyle w:val="LC0"/>
              <w:autoSpaceDN w:val="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5018" w:type="dxa"/>
          </w:tcPr>
          <w:p w14:paraId="75A2610E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四位有效数字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科学计数法表示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</w:p>
        </w:tc>
      </w:tr>
      <w:tr w:rsidR="00BE2C78" w14:paraId="7CF3F3AF" w14:textId="77777777" w:rsidTr="002533D8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497F30FA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2267" w:type="dxa"/>
            <w:vAlign w:val="center"/>
          </w:tcPr>
          <w:p w14:paraId="2F86B7AB" w14:textId="77777777" w:rsidR="00BE2C78" w:rsidRDefault="00BE2C78" w:rsidP="002533D8">
            <w:pPr>
              <w:pStyle w:val="LC0"/>
              <w:autoSpaceDN w:val="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5018" w:type="dxa"/>
          </w:tcPr>
          <w:p w14:paraId="5E40F495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±0.3%</w:t>
            </w:r>
          </w:p>
        </w:tc>
      </w:tr>
      <w:tr w:rsidR="00BE2C78" w14:paraId="5E981637" w14:textId="77777777" w:rsidTr="002533D8">
        <w:trPr>
          <w:trHeight w:val="284"/>
          <w:jc w:val="center"/>
        </w:trPr>
        <w:tc>
          <w:tcPr>
            <w:tcW w:w="1243" w:type="dxa"/>
            <w:vMerge w:val="restart"/>
            <w:vAlign w:val="center"/>
          </w:tcPr>
          <w:p w14:paraId="35D86E92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温度</w:t>
            </w:r>
          </w:p>
        </w:tc>
        <w:tc>
          <w:tcPr>
            <w:tcW w:w="2267" w:type="dxa"/>
            <w:vAlign w:val="center"/>
          </w:tcPr>
          <w:p w14:paraId="4B16A364" w14:textId="77777777" w:rsidR="00BE2C78" w:rsidRDefault="00BE2C78" w:rsidP="002533D8">
            <w:pPr>
              <w:pStyle w:val="LC0"/>
              <w:autoSpaceDN w:val="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范围</w:t>
            </w:r>
          </w:p>
        </w:tc>
        <w:tc>
          <w:tcPr>
            <w:tcW w:w="5018" w:type="dxa"/>
            <w:vAlign w:val="center"/>
          </w:tcPr>
          <w:p w14:paraId="3E8710B0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(-10.0～135.0) ℃/(14.0～275.0) °F</w:t>
            </w:r>
          </w:p>
        </w:tc>
      </w:tr>
      <w:tr w:rsidR="00BE2C78" w14:paraId="170F026B" w14:textId="77777777" w:rsidTr="002533D8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0B991380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2267" w:type="dxa"/>
            <w:vAlign w:val="center"/>
          </w:tcPr>
          <w:p w14:paraId="0A8DCEF9" w14:textId="77777777" w:rsidR="00BE2C78" w:rsidRDefault="00BE2C78" w:rsidP="002533D8">
            <w:pPr>
              <w:pStyle w:val="LC0"/>
              <w:autoSpaceDN w:val="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最小分辨率</w:t>
            </w:r>
          </w:p>
        </w:tc>
        <w:tc>
          <w:tcPr>
            <w:tcW w:w="5018" w:type="dxa"/>
            <w:vAlign w:val="center"/>
          </w:tcPr>
          <w:p w14:paraId="7D49E625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0.1 ℃/0.1°F</w:t>
            </w:r>
          </w:p>
        </w:tc>
      </w:tr>
      <w:tr w:rsidR="00BE2C78" w14:paraId="02A12539" w14:textId="77777777" w:rsidTr="002533D8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35DC88C8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</w:p>
        </w:tc>
        <w:tc>
          <w:tcPr>
            <w:tcW w:w="2267" w:type="dxa"/>
            <w:vAlign w:val="center"/>
          </w:tcPr>
          <w:p w14:paraId="68782630" w14:textId="77777777" w:rsidR="00BE2C78" w:rsidRDefault="00BE2C78" w:rsidP="002533D8">
            <w:pPr>
              <w:pStyle w:val="LC0"/>
              <w:autoSpaceDN w:val="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电子单元示值误差</w:t>
            </w:r>
          </w:p>
        </w:tc>
        <w:tc>
          <w:tcPr>
            <w:tcW w:w="5018" w:type="dxa"/>
          </w:tcPr>
          <w:p w14:paraId="645DEEDB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±0.1℃</w:t>
            </w:r>
          </w:p>
        </w:tc>
      </w:tr>
      <w:tr w:rsidR="00BE2C78" w14:paraId="3CB0A403" w14:textId="77777777" w:rsidTr="002533D8">
        <w:trPr>
          <w:trHeight w:val="284"/>
          <w:jc w:val="center"/>
        </w:trPr>
        <w:tc>
          <w:tcPr>
            <w:tcW w:w="3510" w:type="dxa"/>
            <w:gridSpan w:val="2"/>
            <w:vAlign w:val="center"/>
          </w:tcPr>
          <w:p w14:paraId="7B1DB121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电源</w:t>
            </w:r>
          </w:p>
        </w:tc>
        <w:tc>
          <w:tcPr>
            <w:tcW w:w="5018" w:type="dxa"/>
            <w:vAlign w:val="center"/>
          </w:tcPr>
          <w:p w14:paraId="3D212C63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可充锂电池，电源适配器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(输入：AC(100~240)V ，输出：DC5V，2A)</w:t>
            </w:r>
          </w:p>
        </w:tc>
      </w:tr>
      <w:tr w:rsidR="00BE2C78" w14:paraId="77A2F188" w14:textId="77777777" w:rsidTr="002533D8">
        <w:trPr>
          <w:trHeight w:val="284"/>
          <w:jc w:val="center"/>
        </w:trPr>
        <w:tc>
          <w:tcPr>
            <w:tcW w:w="3510" w:type="dxa"/>
            <w:gridSpan w:val="2"/>
            <w:vAlign w:val="center"/>
          </w:tcPr>
          <w:p w14:paraId="5F90DCF5" w14:textId="77777777" w:rsidR="00BE2C78" w:rsidRDefault="00BE2C78" w:rsidP="002533D8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尺寸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mm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，重量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kg</w:t>
            </w:r>
            <w:r>
              <w:rPr>
                <w:rFonts w:ascii="微软雅黑" w:hAnsi="微软雅黑" w:cs="微软雅黑" w:hint="eastAsia"/>
                <w:kern w:val="2"/>
                <w:szCs w:val="21"/>
                <w:lang w:bidi="ar"/>
              </w:rPr>
              <w:t>)</w:t>
            </w:r>
          </w:p>
        </w:tc>
        <w:tc>
          <w:tcPr>
            <w:tcW w:w="5018" w:type="dxa"/>
            <w:vAlign w:val="center"/>
          </w:tcPr>
          <w:p w14:paraId="537982FC" w14:textId="77777777" w:rsidR="00BE2C78" w:rsidRDefault="00BE2C78" w:rsidP="002533D8">
            <w:pPr>
              <w:pStyle w:val="LC0"/>
              <w:autoSpaceDE w:val="0"/>
              <w:autoSpaceDN w:val="0"/>
              <w:textAlignment w:val="center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  <w:t>90×255×40，0.5</w:t>
            </w:r>
          </w:p>
        </w:tc>
      </w:tr>
      <w:tr w:rsidR="00BE2C78" w14:paraId="0E45FF2C" w14:textId="77777777" w:rsidTr="002533D8">
        <w:trPr>
          <w:trHeight w:val="284"/>
          <w:jc w:val="center"/>
        </w:trPr>
        <w:tc>
          <w:tcPr>
            <w:tcW w:w="3510" w:type="dxa"/>
            <w:gridSpan w:val="2"/>
            <w:vAlign w:val="center"/>
          </w:tcPr>
          <w:p w14:paraId="4118F581" w14:textId="77777777" w:rsidR="00BE2C78" w:rsidRDefault="00BE2C78" w:rsidP="002533D8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包装尺寸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mm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，毛重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kg</w:t>
            </w:r>
            <w:r>
              <w:rPr>
                <w:rFonts w:ascii="微软雅黑" w:hAnsi="微软雅黑" w:cs="微软雅黑" w:hint="eastAsia"/>
                <w:kern w:val="2"/>
                <w:szCs w:val="21"/>
              </w:rPr>
              <w:t>)</w:t>
            </w:r>
          </w:p>
        </w:tc>
        <w:tc>
          <w:tcPr>
            <w:tcW w:w="5018" w:type="dxa"/>
            <w:vAlign w:val="center"/>
          </w:tcPr>
          <w:p w14:paraId="758F1C85" w14:textId="77777777" w:rsidR="00BE2C78" w:rsidRDefault="00BE2C78" w:rsidP="002533D8">
            <w:pPr>
              <w:pStyle w:val="LC0"/>
              <w:rPr>
                <w:rFonts w:ascii="微软雅黑" w:hAnsi="微软雅黑" w:cs="微软雅黑" w:hint="eastAsia"/>
                <w:color w:val="000000"/>
                <w:kern w:val="2"/>
                <w:szCs w:val="21"/>
                <w:lang w:bidi="ar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kern w:val="2"/>
                <w:szCs w:val="21"/>
              </w:rPr>
              <w:t>490×410×220，5.5</w:t>
            </w:r>
          </w:p>
        </w:tc>
      </w:tr>
    </w:tbl>
    <w:p w14:paraId="574E142D" w14:textId="77777777" w:rsidR="00D91D6C" w:rsidRDefault="00D91D6C">
      <w:pPr>
        <w:rPr>
          <w:rFonts w:hint="eastAsia"/>
        </w:rPr>
      </w:pPr>
    </w:p>
    <w:sectPr w:rsidR="00D9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52968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78"/>
    <w:rsid w:val="001C7477"/>
    <w:rsid w:val="009F6A6B"/>
    <w:rsid w:val="00BE2C78"/>
    <w:rsid w:val="00D9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19D6"/>
  <w15:chartTrackingRefBased/>
  <w15:docId w15:val="{1244C01A-EF1C-469A-85E9-5BEF0161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E2C78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2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E2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C7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C7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C7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C7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C7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C7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C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BE2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C7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C7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C7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C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C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C7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E2C78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BE2C78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BE2C78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BE2C78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BE2C78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BE2C78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BE2C78"/>
    <w:rPr>
      <w:rFonts w:ascii="Arial" w:eastAsia="微软雅黑" w:hAnsi="Arial"/>
      <w:b/>
      <w:sz w:val="21"/>
      <w:szCs w:val="21"/>
      <w14:ligatures w14:val="none"/>
    </w:rPr>
  </w:style>
  <w:style w:type="table" w:customStyle="1" w:styleId="61">
    <w:name w:val="网格型6"/>
    <w:basedOn w:val="a1"/>
    <w:autoRedefine/>
    <w:uiPriority w:val="59"/>
    <w:qFormat/>
    <w:rsid w:val="00BE2C78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2024-11-11T05:48:00Z</dcterms:created>
  <dcterms:modified xsi:type="dcterms:W3CDTF">2024-11-11T05:49:00Z</dcterms:modified>
</cp:coreProperties>
</file>