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0C83" w14:textId="77777777" w:rsidR="00B32B8F" w:rsidRDefault="00B32B8F" w:rsidP="00B32B8F">
      <w:pPr>
        <w:pStyle w:val="LC3"/>
        <w:ind w:firstLine="560"/>
        <w:rPr>
          <w:rFonts w:ascii="微软雅黑" w:eastAsia="微软雅黑" w:hAnsi="微软雅黑" w:cs="微软雅黑" w:hint="eastAsia"/>
        </w:rPr>
      </w:pPr>
      <w:bookmarkStart w:id="0" w:name="_Toc28584"/>
      <w:r>
        <w:rPr>
          <w:rFonts w:ascii="微软雅黑" w:eastAsia="微软雅黑" w:hAnsi="微软雅黑" w:cs="微软雅黑" w:hint="eastAsia"/>
        </w:rPr>
        <w:t>PHG-217D型工业pH/ORP测量控制器</w:t>
      </w:r>
      <w:bookmarkEnd w:id="0"/>
    </w:p>
    <w:p w14:paraId="763A001D" w14:textId="77777777" w:rsidR="00B32B8F" w:rsidRDefault="00B32B8F" w:rsidP="00B32B8F">
      <w:pPr>
        <w:jc w:val="center"/>
        <w:rPr>
          <w:rFonts w:ascii="微软雅黑" w:eastAsia="微软雅黑" w:hAnsi="微软雅黑" w:cs="微软雅黑" w:hint="eastAsia"/>
          <w:b/>
          <w:szCs w:val="21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微软雅黑" w:eastAsia="微软雅黑" w:hAnsi="微软雅黑" w:cs="微软雅黑" w:hint="eastAsia"/>
          <w:b/>
          <w:szCs w:val="21"/>
        </w:rPr>
        <w:t xml:space="preserve"> </w:t>
      </w:r>
    </w:p>
    <w:p w14:paraId="2A23428F" w14:textId="77777777" w:rsidR="00B32B8F" w:rsidRDefault="00B32B8F" w:rsidP="00B32B8F">
      <w:pPr>
        <w:pStyle w:val="LC0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238C5D0D" wp14:editId="5ADA7B69">
            <wp:extent cx="2160270" cy="2036445"/>
            <wp:effectExtent l="0" t="0" r="0" b="0"/>
            <wp:docPr id="49" name="图片 49" descr="PHG-2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PHG-21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42B0" w14:textId="77777777" w:rsidR="00B32B8F" w:rsidRDefault="00B32B8F" w:rsidP="00B32B8F">
      <w:pPr>
        <w:pStyle w:val="LC1"/>
        <w:rPr>
          <w:rFonts w:ascii="微软雅黑" w:hAnsi="微软雅黑" w:cs="微软雅黑" w:hint="eastAsia"/>
        </w:rPr>
      </w:pPr>
      <w:bookmarkStart w:id="1" w:name="OLE_LINK16"/>
      <w:r>
        <w:rPr>
          <w:rFonts w:ascii="微软雅黑" w:hAnsi="微软雅黑" w:cs="微软雅黑" w:hint="eastAsia"/>
        </w:rPr>
        <w:t>【应用领域】</w:t>
      </w:r>
    </w:p>
    <w:p w14:paraId="68B43280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适用于化工，炼油，冶金，制药，电站及环保等领域的水质监测</w:t>
      </w:r>
    </w:p>
    <w:bookmarkEnd w:id="1"/>
    <w:p w14:paraId="64024D29" w14:textId="77777777" w:rsidR="00B32B8F" w:rsidRDefault="00B32B8F" w:rsidP="00B32B8F">
      <w:pPr>
        <w:pStyle w:val="LC1"/>
      </w:pPr>
      <w:r>
        <w:rPr>
          <w:rFonts w:hint="eastAsia"/>
        </w:rPr>
        <w:t>【原理</w:t>
      </w:r>
      <w:r>
        <w:rPr>
          <w:rFonts w:hint="eastAsia"/>
        </w:rPr>
        <w:t>&amp;</w:t>
      </w:r>
      <w:r>
        <w:rPr>
          <w:rFonts w:hint="eastAsia"/>
        </w:rPr>
        <w:t>标准</w:t>
      </w:r>
      <w:r>
        <w:rPr>
          <w:rFonts w:hint="eastAsia"/>
        </w:rPr>
        <w:t>&amp;</w:t>
      </w:r>
      <w:r>
        <w:rPr>
          <w:rFonts w:hint="eastAsia"/>
        </w:rPr>
        <w:t>配置】</w:t>
      </w:r>
    </w:p>
    <w:p w14:paraId="475716FB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 xml:space="preserve">符合JB/T 6203-2017 工业pH 计 </w:t>
      </w:r>
    </w:p>
    <w:p w14:paraId="73196309" w14:textId="77777777" w:rsidR="00B32B8F" w:rsidRDefault="00B32B8F" w:rsidP="00B32B8F">
      <w:pPr>
        <w:pStyle w:val="LC"/>
        <w:rPr>
          <w:rFonts w:hint="eastAsia"/>
        </w:rPr>
      </w:pPr>
      <w:bookmarkStart w:id="2" w:name="OLE_LINK73"/>
      <w:r>
        <w:rPr>
          <w:rFonts w:hint="eastAsia"/>
        </w:rPr>
        <w:t>配合流通式发送器使用：PHGF-46流通式pH/ORP发送器，PHGF-28B流通式pH/ORP发送器</w:t>
      </w:r>
    </w:p>
    <w:p w14:paraId="2FF957E4" w14:textId="77777777" w:rsidR="00B32B8F" w:rsidRDefault="00B32B8F" w:rsidP="00B32B8F">
      <w:pPr>
        <w:pStyle w:val="LC"/>
        <w:rPr>
          <w:rFonts w:hint="eastAsia"/>
        </w:rPr>
      </w:pPr>
      <w:r>
        <w:rPr>
          <w:rFonts w:hint="eastAsia"/>
        </w:rPr>
        <w:t>配合沉入式发送器使用：PHGF-43沉入式pH/ORP发送器(P2Y不带清洗)，PHGF-43沉入式pH/ORP发送器(P2Y带清洗)，</w:t>
      </w:r>
      <w:r>
        <w:rPr>
          <w:rFonts w:cs="微软雅黑" w:hint="eastAsia"/>
        </w:rPr>
        <w:t>PHGF-27B沉入式pH发送器</w:t>
      </w:r>
      <w:bookmarkEnd w:id="2"/>
    </w:p>
    <w:p w14:paraId="0BAD96FB" w14:textId="77777777" w:rsidR="00B32B8F" w:rsidRDefault="00B32B8F" w:rsidP="00B32B8F">
      <w:pPr>
        <w:pStyle w:val="LC1"/>
      </w:pPr>
      <w:r>
        <w:rPr>
          <w:rFonts w:hint="eastAsia"/>
        </w:rPr>
        <w:t>【主要特点】</w:t>
      </w:r>
    </w:p>
    <w:p w14:paraId="1D85C3CC" w14:textId="77777777" w:rsidR="00B32B8F" w:rsidRDefault="00B32B8F" w:rsidP="00B32B8F">
      <w:pPr>
        <w:pStyle w:val="LC"/>
        <w:rPr>
          <w:rFonts w:hint="eastAsia"/>
        </w:rPr>
      </w:pPr>
      <w:r>
        <w:rPr>
          <w:rFonts w:cs="微软雅黑" w:hint="eastAsia"/>
        </w:rPr>
        <w:t>液晶屏显示，按键操作，操作简便</w:t>
      </w:r>
    </w:p>
    <w:p w14:paraId="2FB52DD2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支持pH，ORP和温度测量</w:t>
      </w:r>
    </w:p>
    <w:p w14:paraId="54AB9A6B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自动计算斜率及自动温度补偿</w:t>
      </w:r>
    </w:p>
    <w:p w14:paraId="564FDF80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自动识别4.00，6.86，9.18三种标准溶液</w:t>
      </w:r>
    </w:p>
    <w:p w14:paraId="513E092A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具有自动上，下限报警功能</w:t>
      </w:r>
    </w:p>
    <w:p w14:paraId="53F27E07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具有四个额外控制继电器，可实现外接设备控制</w:t>
      </w:r>
    </w:p>
    <w:p w14:paraId="18D9B05B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具有断电数据保持电路，即使非正常停电，仪器内部贮存的数据仍有效，开机后勿需校准即可进入测量</w:t>
      </w:r>
    </w:p>
    <w:p w14:paraId="724F566B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仪器结构特点为盘装式或墙挂式，便于安装，操作及维修</w:t>
      </w:r>
    </w:p>
    <w:p w14:paraId="68B32C06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t>防护等级为IP65，可防止水喷淋及灰尘的侵入</w:t>
      </w:r>
    </w:p>
    <w:p w14:paraId="3CACC469" w14:textId="77777777" w:rsidR="00B32B8F" w:rsidRDefault="00B32B8F" w:rsidP="00B32B8F">
      <w:pPr>
        <w:pStyle w:val="LC"/>
        <w:numPr>
          <w:ilvl w:val="0"/>
          <w:numId w:val="0"/>
        </w:numPr>
        <w:ind w:leftChars="200" w:left="420"/>
        <w:rPr>
          <w:rFonts w:cs="微软雅黑" w:hint="eastAsia"/>
          <w:b/>
        </w:rPr>
      </w:pPr>
    </w:p>
    <w:p w14:paraId="4AF7CF01" w14:textId="77777777" w:rsidR="00B32B8F" w:rsidRDefault="00B32B8F" w:rsidP="00B32B8F">
      <w:pPr>
        <w:pStyle w:val="LC1"/>
        <w:rPr>
          <w:rFonts w:ascii="微软雅黑" w:hAnsi="微软雅黑" w:cs="微软雅黑" w:hint="eastAsia"/>
        </w:rPr>
      </w:pPr>
      <w:r>
        <w:rPr>
          <w:rFonts w:hint="eastAsia"/>
        </w:rPr>
        <w:t>【数据上传和管理】</w:t>
      </w:r>
      <w:r>
        <w:rPr>
          <w:rFonts w:hint="eastAsia"/>
        </w:rPr>
        <w:t xml:space="preserve"> </w:t>
      </w:r>
      <w:r>
        <w:rPr>
          <w:rFonts w:ascii="微软雅黑" w:hAnsi="微软雅黑" w:cs="微软雅黑" w:hint="eastAsia"/>
          <w:szCs w:val="20"/>
        </w:rPr>
        <w:t xml:space="preserve"> </w:t>
      </w:r>
    </w:p>
    <w:p w14:paraId="1FCD318E" w14:textId="77777777" w:rsidR="00B32B8F" w:rsidRDefault="00B32B8F" w:rsidP="00B32B8F">
      <w:pPr>
        <w:pStyle w:val="LC"/>
        <w:rPr>
          <w:rFonts w:cs="微软雅黑" w:hint="eastAsia"/>
        </w:rPr>
      </w:pPr>
      <w:r>
        <w:rPr>
          <w:rFonts w:cs="微软雅黑" w:hint="eastAsia"/>
        </w:rPr>
        <w:lastRenderedPageBreak/>
        <w:t>具有（4～20）mA DC隔离信号输出，输出上限和输出下限可任意设置</w:t>
      </w:r>
    </w:p>
    <w:p w14:paraId="1DF2E669" w14:textId="77777777" w:rsidR="00B32B8F" w:rsidRDefault="00B32B8F" w:rsidP="00B32B8F">
      <w:pPr>
        <w:pStyle w:val="LC"/>
        <w:rPr>
          <w:rFonts w:hint="eastAsia"/>
        </w:rPr>
      </w:pPr>
      <w:r>
        <w:rPr>
          <w:rFonts w:cs="微软雅黑" w:hint="eastAsia"/>
        </w:rPr>
        <w:t>具有RS-485数字接口，支持数据上传和远程通讯</w:t>
      </w:r>
    </w:p>
    <w:p w14:paraId="0A7E0B1C" w14:textId="77777777" w:rsidR="00B32B8F" w:rsidRDefault="00B32B8F" w:rsidP="00B32B8F"/>
    <w:p w14:paraId="207CF728" w14:textId="77777777" w:rsidR="00B32B8F" w:rsidRDefault="00B32B8F" w:rsidP="00B32B8F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【技术参数】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995"/>
        <w:gridCol w:w="5571"/>
      </w:tblGrid>
      <w:tr w:rsidR="00B32B8F" w14:paraId="76B2C4EC" w14:textId="77777777" w:rsidTr="0037704D">
        <w:trPr>
          <w:trHeight w:val="90"/>
          <w:jc w:val="center"/>
        </w:trPr>
        <w:tc>
          <w:tcPr>
            <w:tcW w:w="1641" w:type="pct"/>
            <w:gridSpan w:val="2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75228608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358" w:type="pct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87CCC3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PHG-217D</w:t>
            </w:r>
          </w:p>
        </w:tc>
      </w:tr>
      <w:tr w:rsidR="00B32B8F" w14:paraId="2515625A" w14:textId="77777777" w:rsidTr="0037704D">
        <w:trPr>
          <w:trHeight w:val="377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339905D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仪器级别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26418BA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0.05级</w:t>
            </w:r>
          </w:p>
        </w:tc>
      </w:tr>
      <w:tr w:rsidR="00B32B8F" w14:paraId="1ED281E6" w14:textId="77777777" w:rsidTr="0037704D">
        <w:trPr>
          <w:trHeight w:val="377"/>
          <w:jc w:val="center"/>
        </w:trPr>
        <w:tc>
          <w:tcPr>
            <w:tcW w:w="273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06AD4D0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测量参数</w:t>
            </w:r>
          </w:p>
        </w:tc>
        <w:tc>
          <w:tcPr>
            <w:tcW w:w="559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72F94A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cs="微软雅黑" w:hint="eastAsia"/>
              </w:rPr>
              <w:t>pH，ORP和温度</w:t>
            </w:r>
          </w:p>
        </w:tc>
      </w:tr>
      <w:tr w:rsidR="00B32B8F" w14:paraId="18E31C7A" w14:textId="77777777" w:rsidTr="0037704D">
        <w:trPr>
          <w:trHeight w:val="23"/>
          <w:jc w:val="center"/>
        </w:trPr>
        <w:tc>
          <w:tcPr>
            <w:tcW w:w="438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CCE0B41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792870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B528C75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（0.00～14.00）pH</w:t>
            </w:r>
          </w:p>
        </w:tc>
      </w:tr>
      <w:tr w:rsidR="00B32B8F" w14:paraId="62F359C1" w14:textId="77777777" w:rsidTr="0037704D">
        <w:trPr>
          <w:trHeight w:val="23"/>
          <w:jc w:val="center"/>
        </w:trPr>
        <w:tc>
          <w:tcPr>
            <w:tcW w:w="4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BC84218" w14:textId="77777777" w:rsidR="00B32B8F" w:rsidRDefault="00B32B8F" w:rsidP="0037704D">
            <w:pPr>
              <w:pStyle w:val="LC0"/>
              <w:rPr>
                <w:rFonts w:hint="eastAsia"/>
              </w:rPr>
            </w:pP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C9C816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分辨率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B1C97AC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0.01pH</w:t>
            </w:r>
          </w:p>
        </w:tc>
      </w:tr>
      <w:tr w:rsidR="00B32B8F" w14:paraId="22217D27" w14:textId="77777777" w:rsidTr="0037704D">
        <w:trPr>
          <w:trHeight w:val="23"/>
          <w:jc w:val="center"/>
        </w:trPr>
        <w:tc>
          <w:tcPr>
            <w:tcW w:w="4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CC72AC3" w14:textId="77777777" w:rsidR="00B32B8F" w:rsidRDefault="00B32B8F" w:rsidP="0037704D">
            <w:pPr>
              <w:pStyle w:val="LC0"/>
              <w:rPr>
                <w:rFonts w:hint="eastAsia"/>
              </w:rPr>
            </w:pP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FC05906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仪器基本误差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1242162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±0.05pH±1个字</w:t>
            </w:r>
          </w:p>
        </w:tc>
      </w:tr>
      <w:tr w:rsidR="00B32B8F" w14:paraId="63851624" w14:textId="77777777" w:rsidTr="0037704D">
        <w:trPr>
          <w:trHeight w:val="23"/>
          <w:jc w:val="center"/>
        </w:trPr>
        <w:tc>
          <w:tcPr>
            <w:tcW w:w="438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9CAFEC1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ORP</w:t>
            </w: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B9C3E27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4094ABD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（-1800～1800）mV</w:t>
            </w:r>
          </w:p>
        </w:tc>
      </w:tr>
      <w:tr w:rsidR="00B32B8F" w14:paraId="1CE074FD" w14:textId="77777777" w:rsidTr="0037704D">
        <w:trPr>
          <w:trHeight w:val="23"/>
          <w:jc w:val="center"/>
        </w:trPr>
        <w:tc>
          <w:tcPr>
            <w:tcW w:w="4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3AF48FC" w14:textId="77777777" w:rsidR="00B32B8F" w:rsidRDefault="00B32B8F" w:rsidP="0037704D">
            <w:pPr>
              <w:pStyle w:val="LC0"/>
              <w:rPr>
                <w:rFonts w:hint="eastAsia"/>
              </w:rPr>
            </w:pP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68FA038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分辨率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F0278C7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1mV</w:t>
            </w:r>
          </w:p>
        </w:tc>
      </w:tr>
      <w:tr w:rsidR="00B32B8F" w14:paraId="19067152" w14:textId="77777777" w:rsidTr="0037704D">
        <w:trPr>
          <w:trHeight w:val="23"/>
          <w:jc w:val="center"/>
        </w:trPr>
        <w:tc>
          <w:tcPr>
            <w:tcW w:w="4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9F4C9C7" w14:textId="77777777" w:rsidR="00B32B8F" w:rsidRDefault="00B32B8F" w:rsidP="0037704D">
            <w:pPr>
              <w:pStyle w:val="LC0"/>
              <w:rPr>
                <w:rFonts w:hint="eastAsia"/>
              </w:rPr>
            </w:pP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EDB626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仪器基本误差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071CE5C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±10mV±1个字</w:t>
            </w:r>
          </w:p>
        </w:tc>
      </w:tr>
      <w:tr w:rsidR="00B32B8F" w14:paraId="7CAE1648" w14:textId="77777777" w:rsidTr="0037704D">
        <w:trPr>
          <w:trHeight w:val="307"/>
          <w:jc w:val="center"/>
        </w:trPr>
        <w:tc>
          <w:tcPr>
            <w:tcW w:w="438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7361EB9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456111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AA9BC6B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（-10.0～120.0）℃</w:t>
            </w:r>
          </w:p>
        </w:tc>
      </w:tr>
      <w:tr w:rsidR="00B32B8F" w14:paraId="504168FE" w14:textId="77777777" w:rsidTr="0037704D">
        <w:trPr>
          <w:trHeight w:val="307"/>
          <w:jc w:val="center"/>
        </w:trPr>
        <w:tc>
          <w:tcPr>
            <w:tcW w:w="4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D99B7F3" w14:textId="77777777" w:rsidR="00B32B8F" w:rsidRDefault="00B32B8F" w:rsidP="0037704D">
            <w:pPr>
              <w:pStyle w:val="LC0"/>
              <w:rPr>
                <w:rFonts w:hint="eastAsia"/>
              </w:rPr>
            </w:pP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32BF6A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分辨率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EE6330E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 xml:space="preserve"> 0.1℃</w:t>
            </w:r>
          </w:p>
        </w:tc>
      </w:tr>
      <w:tr w:rsidR="00B32B8F" w14:paraId="0FFBF2BE" w14:textId="77777777" w:rsidTr="0037704D">
        <w:trPr>
          <w:trHeight w:val="307"/>
          <w:jc w:val="center"/>
        </w:trPr>
        <w:tc>
          <w:tcPr>
            <w:tcW w:w="4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865A7FE" w14:textId="77777777" w:rsidR="00B32B8F" w:rsidRDefault="00B32B8F" w:rsidP="0037704D">
            <w:pPr>
              <w:pStyle w:val="LC0"/>
              <w:rPr>
                <w:rFonts w:hint="eastAsia"/>
              </w:rPr>
            </w:pPr>
          </w:p>
        </w:tc>
        <w:tc>
          <w:tcPr>
            <w:tcW w:w="120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EAC5AA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仪器基本误差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ADF77B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±1.0℃±1个字</w:t>
            </w:r>
          </w:p>
        </w:tc>
      </w:tr>
      <w:tr w:rsidR="00B32B8F" w14:paraId="5585CFCC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F9C1A52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测量水样温度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2AA979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（0～60）℃</w:t>
            </w:r>
          </w:p>
        </w:tc>
      </w:tr>
      <w:tr w:rsidR="00B32B8F" w14:paraId="68C21DBB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981A672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模拟输出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DB150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（4～20）mA DC（最大负载750Ω）</w:t>
            </w:r>
          </w:p>
        </w:tc>
      </w:tr>
      <w:tr w:rsidR="00B32B8F" w14:paraId="5F32B2B0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9FB829F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数字通讯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CEF8FC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RS-485</w:t>
            </w:r>
          </w:p>
        </w:tc>
      </w:tr>
      <w:tr w:rsidR="00B32B8F" w14:paraId="76F6F03C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6FDED4B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输出上下限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852A8A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pH: 在（0.00～14.00）pH范围内任意选择</w:t>
            </w:r>
          </w:p>
          <w:p w14:paraId="7DBDD73B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ORP: 在（-1800～1800）mV范围内任意选择</w:t>
            </w:r>
          </w:p>
        </w:tc>
      </w:tr>
      <w:tr w:rsidR="00B32B8F" w14:paraId="3BA79422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A6B2D19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报警，控制继电器触点容量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CAE094C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上下限报警设定，2.5 A，220 V交流</w:t>
            </w:r>
          </w:p>
        </w:tc>
      </w:tr>
      <w:tr w:rsidR="00B32B8F" w14:paraId="3FC5F997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6EAA901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水样流量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3625E3D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（100～120）mL/min</w:t>
            </w:r>
          </w:p>
        </w:tc>
      </w:tr>
      <w:tr w:rsidR="00B32B8F" w14:paraId="42729CD6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904EEDF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进样压力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D4CB2C2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（7～140）kPa</w:t>
            </w:r>
          </w:p>
        </w:tc>
      </w:tr>
      <w:tr w:rsidR="00B32B8F" w14:paraId="778BB4D2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1F787D9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仪器防护等级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0235BF5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IP65</w:t>
            </w:r>
          </w:p>
        </w:tc>
      </w:tr>
      <w:tr w:rsidR="00B32B8F" w14:paraId="3B4D9356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5A4CEEE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使用环境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EA35700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环境温度（-5~50）℃，湿度相对≤90％RH</w:t>
            </w:r>
          </w:p>
        </w:tc>
      </w:tr>
      <w:tr w:rsidR="00B32B8F" w14:paraId="2180FE54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A1A1925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供电电源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435E2F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AC（220±22）V，（50±0.5）Hz</w:t>
            </w:r>
          </w:p>
        </w:tc>
      </w:tr>
      <w:tr w:rsidR="00B32B8F" w14:paraId="1B02A02F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CA99A67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开孔尺寸（mm）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</w:tcPr>
          <w:p w14:paraId="419562F8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140×140</w:t>
            </w:r>
          </w:p>
        </w:tc>
      </w:tr>
      <w:tr w:rsidR="00B32B8F" w14:paraId="2B8B6F5A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EC7E79E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尺寸（mm），重量（kg）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</w:tcPr>
          <w:p w14:paraId="660D693E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166×166×110，约2</w:t>
            </w:r>
          </w:p>
        </w:tc>
      </w:tr>
      <w:tr w:rsidR="00B32B8F" w14:paraId="5D002938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F3BA4E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配合流通式发送器使用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</w:tcPr>
          <w:p w14:paraId="4E318676" w14:textId="77777777" w:rsidR="00B32B8F" w:rsidRDefault="00B32B8F" w:rsidP="0037704D">
            <w:pPr>
              <w:pStyle w:val="LC"/>
              <w:numPr>
                <w:ilvl w:val="0"/>
                <w:numId w:val="0"/>
              </w:numPr>
              <w:ind w:leftChars="200" w:left="420"/>
              <w:rPr>
                <w:rFonts w:cstheme="minorBidi" w:hint="eastAsia"/>
                <w:sz w:val="18"/>
                <w:szCs w:val="22"/>
              </w:rPr>
            </w:pPr>
            <w:r>
              <w:rPr>
                <w:rFonts w:cstheme="minorBidi" w:hint="eastAsia"/>
                <w:sz w:val="18"/>
                <w:szCs w:val="22"/>
              </w:rPr>
              <w:t>PHGF-46流通式pH/ORP发送器，PHGF-28B流通式pH/ORP发送器</w:t>
            </w:r>
          </w:p>
        </w:tc>
      </w:tr>
      <w:tr w:rsidR="00B32B8F" w14:paraId="137250A4" w14:textId="77777777" w:rsidTr="0037704D">
        <w:trPr>
          <w:trHeight w:val="292"/>
          <w:jc w:val="center"/>
        </w:trPr>
        <w:tc>
          <w:tcPr>
            <w:tcW w:w="1641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A3A26B4" w14:textId="77777777" w:rsidR="00B32B8F" w:rsidRDefault="00B32B8F" w:rsidP="0037704D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配合沉入式发送器使用</w:t>
            </w:r>
          </w:p>
        </w:tc>
        <w:tc>
          <w:tcPr>
            <w:tcW w:w="3358" w:type="pct"/>
            <w:tcMar>
              <w:top w:w="15" w:type="dxa"/>
              <w:left w:w="15" w:type="dxa"/>
              <w:right w:w="15" w:type="dxa"/>
            </w:tcMar>
          </w:tcPr>
          <w:p w14:paraId="53EBADAB" w14:textId="77777777" w:rsidR="00B32B8F" w:rsidRDefault="00B32B8F" w:rsidP="0037704D">
            <w:pPr>
              <w:pStyle w:val="LC"/>
              <w:numPr>
                <w:ilvl w:val="0"/>
                <w:numId w:val="0"/>
              </w:numPr>
              <w:ind w:leftChars="200" w:left="420"/>
              <w:rPr>
                <w:rFonts w:cstheme="minorBidi" w:hint="eastAsia"/>
                <w:sz w:val="18"/>
                <w:szCs w:val="22"/>
              </w:rPr>
            </w:pPr>
            <w:r>
              <w:rPr>
                <w:rFonts w:cstheme="minorBidi" w:hint="eastAsia"/>
                <w:sz w:val="18"/>
                <w:szCs w:val="22"/>
              </w:rPr>
              <w:t>PHGF-43沉入式pH/ORP发送器(P2Y不带清洗)，PHGF-43沉入式pH/ORP发送器(P2Y带清洗)，PHGF-43沉入式pH/ORP发送器(P2Y带清洗)</w:t>
            </w:r>
          </w:p>
        </w:tc>
      </w:tr>
    </w:tbl>
    <w:p w14:paraId="486641AE" w14:textId="77777777" w:rsidR="00D91D6C" w:rsidRPr="00B32B8F" w:rsidRDefault="00D91D6C">
      <w:pPr>
        <w:rPr>
          <w:rFonts w:hint="eastAsia"/>
        </w:rPr>
      </w:pPr>
    </w:p>
    <w:sectPr w:rsidR="00D91D6C" w:rsidRPr="00B3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A5F8"/>
    <w:multiLevelType w:val="multilevel"/>
    <w:tmpl w:val="43CDA5F8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13563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8F"/>
    <w:rsid w:val="001C7477"/>
    <w:rsid w:val="008364CA"/>
    <w:rsid w:val="00B32B8F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9292"/>
  <w15:chartTrackingRefBased/>
  <w15:docId w15:val="{77B1704B-7CF4-42A4-9FAB-BF715DF0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B32B8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3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B32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2B8F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B32B8F"/>
    <w:pPr>
      <w:adjustRightInd w:val="0"/>
      <w:snapToGrid w:val="0"/>
      <w:spacing w:after="0" w:line="240" w:lineRule="auto"/>
      <w:jc w:val="center"/>
    </w:pPr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0"/>
    <w:autoRedefine/>
    <w:qFormat/>
    <w:rsid w:val="00B32B8F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0">
    <w:name w:val="LC 文字内容 带符号编码 Char"/>
    <w:link w:val="LC"/>
    <w:autoRedefine/>
    <w:qFormat/>
    <w:rsid w:val="00B32B8F"/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B32B8F"/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autoRedefine/>
    <w:qFormat/>
    <w:rsid w:val="00B32B8F"/>
    <w:pPr>
      <w:outlineLvl w:val="3"/>
    </w:pPr>
    <w:rPr>
      <w:rFonts w:ascii="Times New Roman" w:eastAsia="微软雅黑" w:hAnsi="Times New Roman"/>
      <w:b/>
    </w:rPr>
  </w:style>
  <w:style w:type="paragraph" w:customStyle="1" w:styleId="LC3">
    <w:name w:val="LC 标题3"/>
    <w:basedOn w:val="a"/>
    <w:next w:val="a"/>
    <w:link w:val="LC3Char"/>
    <w:autoRedefine/>
    <w:qFormat/>
    <w:rsid w:val="00B32B8F"/>
    <w:pPr>
      <w:keepNext/>
      <w:keepLines/>
      <w:adjustRightInd w:val="0"/>
      <w:snapToGrid w:val="0"/>
      <w:spacing w:before="260" w:after="260" w:line="416" w:lineRule="auto"/>
      <w:ind w:firstLineChars="200" w:firstLine="420"/>
      <w:jc w:val="center"/>
      <w:outlineLvl w:val="2"/>
    </w:pPr>
    <w:rPr>
      <w:rFonts w:ascii="Arial Unicode MS" w:eastAsia="Arial Unicode MS" w:hAnsi="Arial Unicode MS"/>
      <w:b/>
      <w:bCs/>
      <w:sz w:val="28"/>
      <w:szCs w:val="32"/>
    </w:rPr>
  </w:style>
  <w:style w:type="character" w:customStyle="1" w:styleId="LC3Char">
    <w:name w:val="LC 标题3 Char"/>
    <w:link w:val="LC3"/>
    <w:autoRedefine/>
    <w:qFormat/>
    <w:rsid w:val="00B32B8F"/>
    <w:rPr>
      <w:rFonts w:ascii="Arial Unicode MS" w:eastAsia="Arial Unicode MS" w:hAnsi="Arial Unicode MS"/>
      <w:b/>
      <w:bCs/>
      <w:sz w:val="28"/>
      <w:szCs w:val="32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B32B8F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B32B8F"/>
    <w:rPr>
      <w:sz w:val="21"/>
      <w:szCs w:val="22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B32B8F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B32B8F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2025-03-17T01:43:00Z</dcterms:created>
  <dcterms:modified xsi:type="dcterms:W3CDTF">2025-03-17T01:43:00Z</dcterms:modified>
</cp:coreProperties>
</file>